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Times New Roman" w:hAnsi="Times New Roman" w:eastAsia="宋体" w:cs="Times New Roman"/>
          <w:color w:val="000000"/>
          <w:kern w:val="0"/>
          <w:szCs w:val="21"/>
        </w:rPr>
      </w:pPr>
      <w:r>
        <w:rPr>
          <w:rFonts w:hint="eastAsia" w:ascii="文星简大标宋" w:hAnsi="Times New Roman" w:eastAsia="文星简大标宋" w:cs="Times New Roman"/>
          <w:color w:val="000000"/>
          <w:kern w:val="0"/>
          <w:sz w:val="84"/>
          <w:szCs w:val="84"/>
        </w:rPr>
        <w:t>2016年度</w:t>
      </w:r>
    </w:p>
    <w:p>
      <w:pPr>
        <w:widowControl/>
        <w:shd w:val="clear" w:color="auto" w:fill="FFFFFF"/>
        <w:jc w:val="center"/>
        <w:rPr>
          <w:rFonts w:ascii="Times New Roman" w:hAnsi="Times New Roman" w:eastAsia="宋体" w:cs="Times New Roman"/>
          <w:color w:val="000000"/>
          <w:kern w:val="0"/>
          <w:szCs w:val="21"/>
        </w:rPr>
      </w:pPr>
      <w:r>
        <w:rPr>
          <w:rFonts w:hint="eastAsia" w:ascii="文星简大标宋" w:hAnsi="Times New Roman" w:eastAsia="文星简大标宋" w:cs="Times New Roman"/>
          <w:color w:val="000000"/>
          <w:kern w:val="0"/>
          <w:sz w:val="84"/>
          <w:szCs w:val="84"/>
        </w:rPr>
        <w:t>枣庄商务局部门决算</w:t>
      </w:r>
    </w:p>
    <w:p>
      <w:pPr>
        <w:widowControl/>
        <w:shd w:val="clear" w:color="auto" w:fill="FFFFFF"/>
        <w:rPr>
          <w:rFonts w:ascii="Times New Roman" w:hAnsi="Times New Roman" w:eastAsia="宋体" w:cs="Times New Roman"/>
          <w:color w:val="000000"/>
          <w:kern w:val="0"/>
          <w:szCs w:val="21"/>
        </w:rPr>
      </w:pPr>
      <w:r>
        <w:rPr>
          <w:rFonts w:ascii="Times New Roman" w:hAnsi="Times New Roman" w:eastAsia="宋体" w:cs="Times New Roman"/>
          <w:color w:val="000000"/>
          <w:kern w:val="0"/>
          <w:sz w:val="52"/>
          <w:szCs w:val="52"/>
        </w:rPr>
        <w:t> </w:t>
      </w:r>
    </w:p>
    <w:p>
      <w:pPr>
        <w:widowControl/>
        <w:shd w:val="clear" w:color="auto" w:fill="FFFFFF"/>
        <w:spacing w:line="580" w:lineRule="atLeast"/>
        <w:jc w:val="center"/>
        <w:rPr>
          <w:rFonts w:ascii="Times New Roman" w:hAnsi="Times New Roman" w:eastAsia="宋体" w:cs="Times New Roman"/>
          <w:color w:val="000000"/>
          <w:kern w:val="0"/>
          <w:szCs w:val="21"/>
        </w:rPr>
      </w:pPr>
      <w:r>
        <w:rPr>
          <w:rFonts w:hint="eastAsia" w:ascii="黑体" w:hAnsi="黑体" w:eastAsia="黑体" w:cs="Times New Roman"/>
          <w:color w:val="000000"/>
          <w:kern w:val="0"/>
          <w:sz w:val="44"/>
          <w:szCs w:val="44"/>
        </w:rPr>
        <w:t>目</w:t>
      </w:r>
      <w:r>
        <w:rPr>
          <w:rFonts w:hint="eastAsia" w:ascii="宋体" w:hAnsi="宋体" w:eastAsia="宋体" w:cs="宋体"/>
          <w:color w:val="000000"/>
          <w:kern w:val="0"/>
          <w:sz w:val="44"/>
          <w:szCs w:val="44"/>
        </w:rPr>
        <w:t> </w:t>
      </w:r>
      <w:r>
        <w:rPr>
          <w:rFonts w:hint="eastAsia" w:ascii="宋体" w:hAnsi="宋体" w:eastAsia="宋体" w:cs="宋体"/>
          <w:color w:val="000000"/>
          <w:kern w:val="0"/>
          <w:sz w:val="44"/>
        </w:rPr>
        <w:t> </w:t>
      </w:r>
      <w:r>
        <w:rPr>
          <w:rFonts w:hint="eastAsia" w:ascii="黑体" w:hAnsi="黑体" w:eastAsia="黑体" w:cs="Times New Roman"/>
          <w:color w:val="000000"/>
          <w:kern w:val="0"/>
          <w:sz w:val="44"/>
          <w:szCs w:val="44"/>
        </w:rPr>
        <w:t>录</w:t>
      </w:r>
    </w:p>
    <w:p>
      <w:pPr>
        <w:widowControl/>
        <w:shd w:val="clear" w:color="auto" w:fill="FFFFFF"/>
        <w:spacing w:line="580" w:lineRule="atLeast"/>
        <w:jc w:val="center"/>
        <w:rPr>
          <w:rFonts w:ascii="Times New Roman" w:hAnsi="Times New Roman" w:eastAsia="宋体" w:cs="Times New Roman"/>
          <w:color w:val="000000"/>
          <w:kern w:val="0"/>
          <w:szCs w:val="21"/>
        </w:rPr>
      </w:pPr>
      <w:r>
        <w:rPr>
          <w:rFonts w:hint="eastAsia" w:ascii="宋体" w:hAnsi="宋体" w:eastAsia="宋体" w:cs="宋体"/>
          <w:color w:val="000000"/>
          <w:kern w:val="0"/>
          <w:sz w:val="44"/>
          <w:szCs w:val="44"/>
        </w:rPr>
        <w:t> </w:t>
      </w:r>
    </w:p>
    <w:p>
      <w:pPr>
        <w:widowControl/>
        <w:shd w:val="clear" w:color="auto" w:fill="FFFFFF"/>
        <w:spacing w:line="580" w:lineRule="atLeast"/>
        <w:jc w:val="center"/>
        <w:rPr>
          <w:rFonts w:ascii="Times New Roman" w:hAnsi="Times New Roman" w:eastAsia="宋体" w:cs="Times New Roman"/>
          <w:color w:val="000000"/>
          <w:kern w:val="0"/>
          <w:szCs w:val="21"/>
        </w:rPr>
      </w:pPr>
      <w:r>
        <w:rPr>
          <w:rFonts w:hint="eastAsia" w:ascii="宋体" w:hAnsi="宋体" w:eastAsia="宋体" w:cs="宋体"/>
          <w:color w:val="000000"/>
          <w:kern w:val="0"/>
          <w:sz w:val="44"/>
          <w:szCs w:val="44"/>
        </w:rPr>
        <w:t> </w:t>
      </w:r>
    </w:p>
    <w:p>
      <w:pPr>
        <w:widowControl/>
        <w:shd w:val="clear" w:color="auto" w:fill="FFFFFF"/>
        <w:spacing w:line="580" w:lineRule="atLeast"/>
        <w:rPr>
          <w:rFonts w:ascii="Times New Roman" w:hAnsi="Times New Roman" w:eastAsia="宋体" w:cs="Times New Roman"/>
          <w:color w:val="000000"/>
          <w:kern w:val="0"/>
          <w:szCs w:val="21"/>
        </w:rPr>
      </w:pPr>
      <w:r>
        <w:rPr>
          <w:rFonts w:hint="eastAsia" w:ascii="黑体" w:hAnsi="黑体" w:eastAsia="黑体" w:cs="Times New Roman"/>
          <w:color w:val="000000"/>
          <w:kern w:val="0"/>
          <w:sz w:val="36"/>
          <w:szCs w:val="36"/>
        </w:rPr>
        <w:t>第一部分</w:t>
      </w:r>
      <w:r>
        <w:rPr>
          <w:rFonts w:hint="eastAsia" w:ascii="宋体" w:hAnsi="宋体" w:eastAsia="宋体" w:cs="宋体"/>
          <w:color w:val="000000"/>
          <w:kern w:val="0"/>
          <w:sz w:val="36"/>
        </w:rPr>
        <w:t> </w:t>
      </w:r>
      <w:r>
        <w:rPr>
          <w:rFonts w:hint="eastAsia" w:ascii="宋体" w:hAnsi="宋体" w:eastAsia="宋体" w:cs="宋体"/>
          <w:color w:val="000000"/>
          <w:kern w:val="0"/>
          <w:sz w:val="36"/>
          <w:szCs w:val="36"/>
        </w:rPr>
        <w:t> </w:t>
      </w:r>
      <w:r>
        <w:rPr>
          <w:rFonts w:hint="eastAsia" w:ascii="宋体" w:hAnsi="宋体" w:eastAsia="宋体" w:cs="宋体"/>
          <w:color w:val="000000"/>
          <w:kern w:val="0"/>
          <w:sz w:val="36"/>
        </w:rPr>
        <w:t> </w:t>
      </w:r>
      <w:r>
        <w:rPr>
          <w:rFonts w:hint="eastAsia" w:ascii="黑体" w:hAnsi="黑体" w:eastAsia="黑体" w:cs="Times New Roman"/>
          <w:color w:val="000000"/>
          <w:kern w:val="0"/>
          <w:sz w:val="36"/>
          <w:szCs w:val="36"/>
        </w:rPr>
        <w:t>部门概况</w:t>
      </w:r>
    </w:p>
    <w:p>
      <w:pPr>
        <w:widowControl/>
        <w:shd w:val="clear" w:color="auto" w:fill="FFFFFF"/>
        <w:spacing w:line="580" w:lineRule="atLeast"/>
        <w:ind w:left="641" w:firstLine="192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一、主要职能</w:t>
      </w:r>
    </w:p>
    <w:p>
      <w:pPr>
        <w:widowControl/>
        <w:shd w:val="clear" w:color="auto" w:fill="FFFFFF"/>
        <w:spacing w:line="580" w:lineRule="atLeast"/>
        <w:ind w:left="641" w:firstLine="192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二、部门决算单位构成</w:t>
      </w:r>
    </w:p>
    <w:p>
      <w:pPr>
        <w:widowControl/>
        <w:shd w:val="clear" w:color="auto" w:fill="FFFFFF"/>
        <w:spacing w:line="580" w:lineRule="atLeast"/>
        <w:ind w:left="640"/>
        <w:rPr>
          <w:rFonts w:ascii="Times New Roman" w:hAnsi="Times New Roman" w:eastAsia="宋体" w:cs="Times New Roman"/>
          <w:color w:val="000000"/>
          <w:kern w:val="0"/>
          <w:szCs w:val="21"/>
        </w:rPr>
      </w:pPr>
      <w:r>
        <w:rPr>
          <w:rFonts w:hint="eastAsia" w:ascii="宋体" w:hAnsi="宋体" w:eastAsia="宋体" w:cs="宋体"/>
          <w:color w:val="000000"/>
          <w:kern w:val="0"/>
          <w:sz w:val="32"/>
          <w:szCs w:val="32"/>
        </w:rPr>
        <w:t> </w:t>
      </w:r>
    </w:p>
    <w:p>
      <w:pPr>
        <w:widowControl/>
        <w:shd w:val="clear" w:color="auto" w:fill="FFFFFF"/>
        <w:spacing w:line="580" w:lineRule="atLeast"/>
        <w:rPr>
          <w:rFonts w:ascii="Times New Roman" w:hAnsi="Times New Roman" w:eastAsia="宋体" w:cs="Times New Roman"/>
          <w:color w:val="000000"/>
          <w:kern w:val="0"/>
          <w:szCs w:val="21"/>
        </w:rPr>
      </w:pPr>
      <w:r>
        <w:rPr>
          <w:rFonts w:hint="eastAsia" w:ascii="黑体" w:hAnsi="黑体" w:eastAsia="黑体" w:cs="Times New Roman"/>
          <w:color w:val="000000"/>
          <w:kern w:val="0"/>
          <w:sz w:val="36"/>
          <w:szCs w:val="36"/>
        </w:rPr>
        <w:t>第二部分</w:t>
      </w:r>
      <w:r>
        <w:rPr>
          <w:rFonts w:hint="eastAsia" w:ascii="宋体" w:hAnsi="宋体" w:eastAsia="宋体" w:cs="宋体"/>
          <w:color w:val="000000"/>
          <w:kern w:val="0"/>
          <w:sz w:val="36"/>
          <w:szCs w:val="36"/>
        </w:rPr>
        <w:t> </w:t>
      </w:r>
      <w:r>
        <w:rPr>
          <w:rFonts w:hint="eastAsia" w:ascii="宋体" w:hAnsi="宋体" w:eastAsia="宋体" w:cs="宋体"/>
          <w:color w:val="000000"/>
          <w:kern w:val="0"/>
          <w:sz w:val="36"/>
        </w:rPr>
        <w:t> </w:t>
      </w:r>
      <w:r>
        <w:rPr>
          <w:rFonts w:hint="eastAsia" w:ascii="黑体" w:hAnsi="黑体" w:eastAsia="黑体" w:cs="Times New Roman"/>
          <w:color w:val="000000"/>
          <w:kern w:val="0"/>
          <w:sz w:val="36"/>
          <w:szCs w:val="36"/>
        </w:rPr>
        <w:t>2016年度部门决算表</w:t>
      </w:r>
    </w:p>
    <w:p>
      <w:pPr>
        <w:widowControl/>
        <w:shd w:val="clear" w:color="auto" w:fill="FFFFFF"/>
        <w:spacing w:line="580" w:lineRule="atLeast"/>
        <w:ind w:firstLine="256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一、收入支出决算总表</w:t>
      </w:r>
    </w:p>
    <w:p>
      <w:pPr>
        <w:widowControl/>
        <w:shd w:val="clear" w:color="auto" w:fill="FFFFFF"/>
        <w:spacing w:line="580" w:lineRule="atLeast"/>
        <w:ind w:firstLine="256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二、收入决算表</w:t>
      </w:r>
    </w:p>
    <w:p>
      <w:pPr>
        <w:widowControl/>
        <w:shd w:val="clear" w:color="auto" w:fill="FFFFFF"/>
        <w:spacing w:line="580" w:lineRule="atLeast"/>
        <w:ind w:firstLine="256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三、支出决算表</w:t>
      </w:r>
    </w:p>
    <w:p>
      <w:pPr>
        <w:widowControl/>
        <w:shd w:val="clear" w:color="auto" w:fill="FFFFFF"/>
        <w:spacing w:line="580" w:lineRule="atLeast"/>
        <w:ind w:firstLine="256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四、财政拨款收入支出决算总表</w:t>
      </w:r>
    </w:p>
    <w:p>
      <w:pPr>
        <w:widowControl/>
        <w:shd w:val="clear" w:color="auto" w:fill="FFFFFF"/>
        <w:spacing w:line="580" w:lineRule="atLeast"/>
        <w:ind w:firstLine="256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五、一般公共预算财政拨款支出决算表</w:t>
      </w:r>
    </w:p>
    <w:p>
      <w:pPr>
        <w:widowControl/>
        <w:shd w:val="clear" w:color="auto" w:fill="FFFFFF"/>
        <w:spacing w:line="580" w:lineRule="atLeast"/>
        <w:ind w:firstLine="256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六、一般公共预算财政拨款基本支出决算表</w:t>
      </w:r>
    </w:p>
    <w:p>
      <w:pPr>
        <w:widowControl/>
        <w:shd w:val="clear" w:color="auto" w:fill="FFFFFF"/>
        <w:spacing w:line="580" w:lineRule="atLeast"/>
        <w:ind w:firstLine="256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七、政府性基金预算财政拨款收入支出决算表</w:t>
      </w:r>
    </w:p>
    <w:p>
      <w:pPr>
        <w:widowControl/>
        <w:shd w:val="clear" w:color="auto" w:fill="FFFFFF"/>
        <w:spacing w:line="580" w:lineRule="atLeast"/>
        <w:ind w:firstLine="2560"/>
        <w:rPr>
          <w:rFonts w:ascii="Times New Roman" w:hAnsi="Times New Roman" w:eastAsia="宋体" w:cs="Times New Roman"/>
          <w:color w:val="000000"/>
          <w:kern w:val="0"/>
          <w:szCs w:val="21"/>
        </w:rPr>
      </w:pPr>
      <w:r>
        <w:rPr>
          <w:rFonts w:hint="eastAsia" w:ascii="黑体" w:hAnsi="黑体" w:eastAsia="黑体" w:cs="Times New Roman"/>
          <w:color w:val="000000"/>
          <w:kern w:val="0"/>
          <w:sz w:val="32"/>
          <w:szCs w:val="32"/>
        </w:rPr>
        <w:t>八、一般公共预算财政拨款“三公”经费支出决算表</w:t>
      </w:r>
    </w:p>
    <w:p>
      <w:pPr>
        <w:widowControl/>
        <w:shd w:val="clear" w:color="auto" w:fill="FFFFFF"/>
        <w:spacing w:line="580" w:lineRule="atLeast"/>
        <w:ind w:firstLine="640"/>
        <w:rPr>
          <w:rFonts w:ascii="Times New Roman" w:hAnsi="Times New Roman" w:eastAsia="宋体" w:cs="Times New Roman"/>
          <w:color w:val="000000"/>
          <w:kern w:val="0"/>
          <w:szCs w:val="21"/>
        </w:rPr>
      </w:pPr>
      <w:r>
        <w:rPr>
          <w:rFonts w:hint="eastAsia" w:ascii="宋体" w:hAnsi="宋体" w:eastAsia="宋体" w:cs="宋体"/>
          <w:color w:val="000000"/>
          <w:kern w:val="0"/>
          <w:sz w:val="32"/>
          <w:szCs w:val="32"/>
        </w:rPr>
        <w:t> </w:t>
      </w:r>
    </w:p>
    <w:p>
      <w:pPr>
        <w:widowControl/>
        <w:shd w:val="clear" w:color="auto" w:fill="FFFFFF"/>
        <w:spacing w:line="580" w:lineRule="atLeast"/>
        <w:ind w:left="1602" w:hanging="1602"/>
        <w:rPr>
          <w:rFonts w:ascii="Times New Roman" w:hAnsi="Times New Roman" w:eastAsia="宋体" w:cs="Times New Roman"/>
          <w:color w:val="000000"/>
          <w:kern w:val="0"/>
          <w:szCs w:val="21"/>
        </w:rPr>
      </w:pPr>
      <w:r>
        <w:rPr>
          <w:rFonts w:hint="eastAsia" w:ascii="黑体" w:hAnsi="黑体" w:eastAsia="黑体" w:cs="Times New Roman"/>
          <w:color w:val="000000"/>
          <w:kern w:val="0"/>
          <w:sz w:val="36"/>
          <w:szCs w:val="36"/>
        </w:rPr>
        <w:t>第三部分</w:t>
      </w:r>
      <w:r>
        <w:rPr>
          <w:rFonts w:hint="eastAsia" w:ascii="宋体" w:hAnsi="宋体" w:eastAsia="宋体" w:cs="宋体"/>
          <w:color w:val="000000"/>
          <w:kern w:val="0"/>
          <w:sz w:val="36"/>
        </w:rPr>
        <w:t> </w:t>
      </w:r>
      <w:r>
        <w:rPr>
          <w:rFonts w:hint="eastAsia" w:ascii="宋体" w:hAnsi="宋体" w:eastAsia="宋体" w:cs="宋体"/>
          <w:color w:val="000000"/>
          <w:kern w:val="0"/>
          <w:sz w:val="36"/>
          <w:szCs w:val="36"/>
        </w:rPr>
        <w:t> </w:t>
      </w:r>
      <w:r>
        <w:rPr>
          <w:rFonts w:hint="eastAsia" w:ascii="宋体" w:hAnsi="宋体" w:eastAsia="宋体" w:cs="宋体"/>
          <w:color w:val="000000"/>
          <w:kern w:val="0"/>
          <w:sz w:val="36"/>
        </w:rPr>
        <w:t> </w:t>
      </w:r>
      <w:r>
        <w:rPr>
          <w:rFonts w:hint="eastAsia" w:ascii="黑体" w:hAnsi="黑体" w:eastAsia="黑体" w:cs="Times New Roman"/>
          <w:color w:val="000000"/>
          <w:kern w:val="0"/>
          <w:sz w:val="36"/>
          <w:szCs w:val="36"/>
        </w:rPr>
        <w:t>2016年度部门决算情况说明</w:t>
      </w:r>
    </w:p>
    <w:p>
      <w:pPr>
        <w:widowControl/>
        <w:shd w:val="clear" w:color="auto" w:fill="FFFFFF"/>
        <w:spacing w:line="580" w:lineRule="atLeast"/>
        <w:ind w:left="1602" w:hanging="1602"/>
        <w:rPr>
          <w:rFonts w:ascii="Times New Roman" w:hAnsi="Times New Roman" w:eastAsia="宋体" w:cs="Times New Roman"/>
          <w:color w:val="000000"/>
          <w:kern w:val="0"/>
          <w:szCs w:val="21"/>
        </w:rPr>
      </w:pPr>
      <w:r>
        <w:rPr>
          <w:rFonts w:hint="eastAsia" w:ascii="宋体" w:hAnsi="宋体" w:eastAsia="宋体" w:cs="宋体"/>
          <w:color w:val="000000"/>
          <w:kern w:val="0"/>
          <w:sz w:val="36"/>
          <w:szCs w:val="36"/>
        </w:rPr>
        <w:t> </w:t>
      </w:r>
    </w:p>
    <w:p>
      <w:pPr>
        <w:widowControl/>
        <w:shd w:val="clear" w:color="auto" w:fill="FFFFFF"/>
        <w:spacing w:line="580" w:lineRule="atLeast"/>
        <w:ind w:left="1602" w:hanging="1602"/>
        <w:rPr>
          <w:rFonts w:ascii="Times New Roman" w:hAnsi="Times New Roman" w:eastAsia="宋体" w:cs="Times New Roman"/>
          <w:color w:val="000000"/>
          <w:kern w:val="0"/>
          <w:szCs w:val="21"/>
        </w:rPr>
      </w:pPr>
      <w:r>
        <w:rPr>
          <w:rFonts w:hint="eastAsia" w:ascii="宋体" w:hAnsi="宋体" w:eastAsia="宋体" w:cs="宋体"/>
          <w:color w:val="000000"/>
          <w:kern w:val="0"/>
          <w:sz w:val="36"/>
          <w:szCs w:val="36"/>
        </w:rPr>
        <w:t> </w:t>
      </w:r>
    </w:p>
    <w:p>
      <w:pPr>
        <w:widowControl/>
        <w:shd w:val="clear" w:color="auto" w:fill="FFFFFF"/>
        <w:spacing w:line="580" w:lineRule="atLeast"/>
        <w:ind w:left="1602" w:hanging="1602"/>
        <w:rPr>
          <w:rFonts w:ascii="Times New Roman" w:hAnsi="Times New Roman" w:eastAsia="宋体" w:cs="Times New Roman"/>
          <w:color w:val="000000"/>
          <w:kern w:val="0"/>
          <w:szCs w:val="21"/>
        </w:rPr>
      </w:pPr>
      <w:r>
        <w:rPr>
          <w:rFonts w:hint="eastAsia" w:ascii="黑体" w:hAnsi="黑体" w:eastAsia="黑体" w:cs="Times New Roman"/>
          <w:color w:val="000000"/>
          <w:kern w:val="0"/>
          <w:sz w:val="36"/>
          <w:szCs w:val="36"/>
        </w:rPr>
        <w:t>第四部分</w:t>
      </w:r>
      <w:r>
        <w:rPr>
          <w:rFonts w:hint="eastAsia" w:ascii="宋体" w:hAnsi="宋体" w:eastAsia="宋体" w:cs="宋体"/>
          <w:color w:val="000000"/>
          <w:kern w:val="0"/>
          <w:sz w:val="36"/>
          <w:szCs w:val="36"/>
        </w:rPr>
        <w:t>  </w:t>
      </w:r>
      <w:r>
        <w:rPr>
          <w:rFonts w:hint="eastAsia" w:ascii="宋体" w:hAnsi="宋体" w:eastAsia="宋体" w:cs="宋体"/>
          <w:color w:val="000000"/>
          <w:kern w:val="0"/>
          <w:sz w:val="36"/>
        </w:rPr>
        <w:t> </w:t>
      </w:r>
      <w:r>
        <w:rPr>
          <w:rFonts w:hint="eastAsia" w:ascii="黑体" w:hAnsi="黑体" w:eastAsia="黑体" w:cs="Times New Roman"/>
          <w:color w:val="000000"/>
          <w:kern w:val="0"/>
          <w:sz w:val="36"/>
          <w:szCs w:val="36"/>
        </w:rPr>
        <w:t>名词解释</w:t>
      </w:r>
    </w:p>
    <w:p>
      <w:pPr>
        <w:widowControl/>
        <w:shd w:val="clear" w:color="auto" w:fill="FFFFFF"/>
        <w:spacing w:line="580" w:lineRule="atLeast"/>
        <w:ind w:left="1602" w:hanging="1602"/>
        <w:rPr>
          <w:rFonts w:ascii="Times New Roman" w:hAnsi="Times New Roman" w:eastAsia="宋体" w:cs="Times New Roman"/>
          <w:color w:val="000000"/>
          <w:kern w:val="0"/>
          <w:szCs w:val="21"/>
        </w:rPr>
      </w:pPr>
      <w:r>
        <w:rPr>
          <w:rFonts w:hint="eastAsia" w:ascii="宋体" w:hAnsi="宋体" w:eastAsia="宋体" w:cs="宋体"/>
          <w:color w:val="000000"/>
          <w:kern w:val="0"/>
          <w:sz w:val="36"/>
          <w:szCs w:val="36"/>
        </w:rPr>
        <w:t> </w:t>
      </w:r>
    </w:p>
    <w:p>
      <w:pPr>
        <w:widowControl/>
        <w:shd w:val="clear" w:color="auto" w:fill="FFFFFF"/>
        <w:ind w:left="1609"/>
        <w:rPr>
          <w:rFonts w:ascii="Times New Roman" w:hAnsi="Times New Roman" w:eastAsia="宋体" w:cs="Times New Roman"/>
          <w:color w:val="000000"/>
          <w:kern w:val="0"/>
          <w:szCs w:val="21"/>
        </w:rPr>
      </w:pPr>
      <w:r>
        <w:rPr>
          <w:rFonts w:hint="eastAsia" w:ascii="宋体" w:hAnsi="宋体" w:eastAsia="宋体" w:cs="宋体"/>
          <w:color w:val="000000"/>
          <w:kern w:val="0"/>
          <w:sz w:val="36"/>
          <w:szCs w:val="36"/>
        </w:rPr>
        <w:t> </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宋体"/>
          <w:color w:val="000000"/>
          <w:kern w:val="0"/>
          <w:sz w:val="36"/>
          <w:szCs w:val="36"/>
        </w:rPr>
        <w:t> </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宋体"/>
          <w:color w:val="000000"/>
          <w:kern w:val="0"/>
          <w:sz w:val="36"/>
          <w:szCs w:val="36"/>
        </w:rPr>
        <w:t> </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宋体"/>
          <w:color w:val="000000"/>
          <w:kern w:val="0"/>
          <w:sz w:val="36"/>
          <w:szCs w:val="36"/>
        </w:rPr>
        <w:t> </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宋体"/>
          <w:color w:val="000000"/>
          <w:kern w:val="0"/>
          <w:sz w:val="36"/>
          <w:szCs w:val="36"/>
        </w:rPr>
        <w:t> </w:t>
      </w:r>
    </w:p>
    <w:p>
      <w:pPr>
        <w:widowControl/>
        <w:shd w:val="clear" w:color="auto" w:fill="FFFFFF"/>
        <w:rPr>
          <w:rFonts w:ascii="Times New Roman" w:hAnsi="Times New Roman" w:eastAsia="宋体" w:cs="Times New Roman"/>
          <w:color w:val="000000"/>
          <w:kern w:val="0"/>
          <w:szCs w:val="21"/>
        </w:rPr>
      </w:pPr>
      <w:r>
        <w:rPr>
          <w:rFonts w:hint="eastAsia" w:ascii="黑体" w:hAnsi="黑体" w:eastAsia="黑体" w:cs="Times New Roman"/>
          <w:color w:val="000000"/>
          <w:kern w:val="0"/>
          <w:sz w:val="52"/>
          <w:szCs w:val="52"/>
        </w:rPr>
        <w:t>第一部分</w:t>
      </w:r>
    </w:p>
    <w:p>
      <w:pPr>
        <w:widowControl/>
        <w:shd w:val="clear" w:color="auto" w:fill="FFFFFF"/>
        <w:jc w:val="center"/>
        <w:rPr>
          <w:rFonts w:ascii="黑体" w:hAnsi="黑体" w:eastAsia="黑体"/>
          <w:color w:val="000000"/>
          <w:sz w:val="52"/>
          <w:szCs w:val="52"/>
          <w:shd w:val="clear" w:color="auto" w:fill="FFFFFF"/>
        </w:rPr>
      </w:pPr>
      <w:r>
        <w:rPr>
          <w:rFonts w:hint="eastAsia" w:ascii="黑体" w:hAnsi="黑体" w:eastAsia="黑体"/>
          <w:color w:val="000000"/>
          <w:sz w:val="52"/>
          <w:szCs w:val="52"/>
          <w:shd w:val="clear" w:color="auto" w:fill="FFFFFF"/>
        </w:rPr>
        <w:t>概</w:t>
      </w:r>
      <w:r>
        <w:rPr>
          <w:rFonts w:hint="eastAsia" w:ascii="宋体" w:hAnsi="宋体" w:eastAsia="宋体" w:cs="宋体"/>
          <w:color w:val="000000"/>
          <w:sz w:val="52"/>
          <w:szCs w:val="52"/>
          <w:shd w:val="clear" w:color="auto" w:fill="FFFFFF"/>
        </w:rPr>
        <w:t>   </w:t>
      </w:r>
      <w:r>
        <w:rPr>
          <w:rStyle w:val="6"/>
          <w:rFonts w:hint="eastAsia" w:ascii="宋体" w:hAnsi="宋体" w:eastAsia="宋体" w:cs="宋体"/>
          <w:color w:val="000000"/>
          <w:sz w:val="52"/>
          <w:szCs w:val="52"/>
          <w:shd w:val="clear" w:color="auto" w:fill="FFFFFF"/>
        </w:rPr>
        <w:t> </w:t>
      </w:r>
      <w:r>
        <w:rPr>
          <w:rFonts w:hint="eastAsia" w:ascii="黑体" w:hAnsi="黑体" w:eastAsia="黑体"/>
          <w:color w:val="000000"/>
          <w:sz w:val="52"/>
          <w:szCs w:val="52"/>
          <w:shd w:val="clear" w:color="auto" w:fill="FFFFFF"/>
        </w:rPr>
        <w:t>况</w:t>
      </w:r>
    </w:p>
    <w:p>
      <w:pPr>
        <w:spacing w:line="640" w:lineRule="exact"/>
        <w:rPr>
          <w:rFonts w:hint="eastAsia" w:ascii="楷体_GB2312" w:hAnsi="楷体_GB2312"/>
          <w:b/>
          <w:bCs/>
          <w:sz w:val="32"/>
          <w:szCs w:val="32"/>
        </w:rPr>
      </w:pPr>
      <w:r>
        <w:rPr>
          <w:rFonts w:ascii="楷体_GB2312" w:hAnsi="楷体_GB2312"/>
          <w:b/>
          <w:bCs/>
          <w:sz w:val="32"/>
          <w:szCs w:val="32"/>
        </w:rPr>
        <w:t>一、主要职能及机构设置：</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枣庄市商务局是市政府组成部门，为一级预算单位，主要职能：</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（一）贯彻执行国家和省商务领域的法律、法规，拟订全市商务发展规划、政策并组织实施；研究经济全球化、区域经济合作、现代流通方式的发展趋势和流通体制改革并提出建议。</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负责推进流通产业结构调整，指导流通企业和社区商业发展；负责商贸服务业管理工作，提出促进商贸中小企业发展的政策建议；制定再生资源回收行业发展规划、政策并组织实施；推动流通标准化和连锁经营、商业特许经营、物流配送、电子商务等现代流通方式的发展。</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研究提出引导国内外资金投向市场体系建设的政策建议，促进城乡市场发展；指导大宗产品批发市场规划和城市商业网点规划、商业体系建设工作；推进农村市场体系建设，组织实施农村现代流通网络工程。</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承担牵头协调整顿和规范全市市场经济秩序工作的责任。拟订规范市场运行、流通秩序的政策；推动商务领域信用建设，指导商业信用销售；按规定对拍卖、典当、租赁、汽车流通、旧货流通、报废汽车回收（含拆解）等特殊流通行业进行监督管理；承担医药行业管理工作，拟订医药行业发展规划、政策并组织实施；负责市级药品储备管理和中药材生产扶持项目管理。</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负责建立健全全市生活必需品市场供应应急管理机制；监测分析市场运行、商品供求状况，调查分析商品价格信息，进行预测预警和信息引导；按规定负责重要消费品储备管理、市场调控和重要生产资料流通管理工作。</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（六）拟订促进外贸发展方式转变的政策并组织实施；按规定负责申报、审核和监督管理重要工业品、原材料和重要农产品（粮食、棉花除外）进出口计划及配额；指导贸易促进活动和外贸促进体系建设。</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（七）拟订机电产品进出口发展规划、政策并组织实施；依据国家产业政策调整机电产品进出口结构；负责机电产品进出口申报、审核和管理工作，指导协调大型成套设备出口，组织企业开拓机电产品国际市场。</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八）拟订技术贸易发展规划、政策并组织实施；组织实施“科技兴贸”战略相关工作，承担高新技术产品贸易促进工作；指导管理加工贸易，按规定核准加工贸易业务；按规定负责两用物项和技术进出口管理及出口管制和最终用户管理工作；推进进出口贸易标准化工作；研究制定外经贸体制改革方案，指导国有外经贸企业的改革工作。</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（九）牵头拟订服务贸易发展规划并开展相关工作；会同有关部门制定促进服务出口和服务外包发展的规划、政策并组织实施；推动服务外包平台建设。</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承担世界贸易组织相关规则、协议的咨询服务工作；组织协调涉及我市的反倾销、反补贴和保障措施、其他进出口公平贸易应诉及相关工作；指导、协调企业对进口产品发起的反倾销、反补贴和保障措施调查；配合开展对外贸易壁垒调查和产业损害调查；指导、协调产业安全应对工作；按规定承担对经营者集中行为进行反垄断调查的相关工作。</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一）指导、管理全市外商投资工作；拟订吸收外商投资发展规划和政策；按权限核准和审核、申报外商投资企业的设立及变更事项；依法监督检查外商投资企业执行有关法律法规规章、合同章程的情况并协调解决有关问题；组织指导外商投资促进工作。</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（十二）拟订全市“走出去”发展规划、政策并组织实施；研究拟订境外投资的管理办法和具体政策；依法审核上报市内企业对外投资开办企业（金融企业除外）。</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三）负责对外经济合作和对外援助工作；管理、监督对外承包工程、对外劳务合作等对外经济合作业务；审核上报对外承包工程、对外劳务合作经营资格；按规定负责外派劳务和境外就业人员的权益保护工作；协调管理我市承办的国家对外援助项目、多双边及国外民间组织对我市提供的无偿援助和赠款项目（不含财政合作项下外国政府及国际金融组织对我市赠款）。</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四）会同有关部门拟订全市经济开发区、出口加工区、保税区、保税物流中心等发展规划、政策；负责国家级经济开发区设立的申报；负责全市省级经济开发区的综合协调和产业发展规划的组织实施；负责全市省级经济开发区综合评价、统计、考核工作。</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（十五）贯彻执行国别（地区）外经贸政策，负责建立和发展与有关国际经济组织、国外地方政府、友好城市间的经贸关系，指导与未建交国家的经贸活动；推进与香港、澳门特别行政区和台湾地区的经贸合作。</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（十六）组织领导全市国有（集体）流通企业改革和调整重组；负责指导管理原市直商业、物资、医药系统国有及国有控股企业。</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（十七）承办市委、市政府交办的其他事项。</w:t>
      </w:r>
    </w:p>
    <w:p>
      <w:pPr>
        <w:spacing w:line="640" w:lineRule="exact"/>
        <w:ind w:firstLine="630" w:firstLineChars="196"/>
        <w:rPr>
          <w:rFonts w:hint="eastAsia" w:ascii="楷体_GB2312" w:hAnsi="楷体_GB2312"/>
          <w:b/>
          <w:bCs/>
          <w:sz w:val="32"/>
          <w:szCs w:val="32"/>
        </w:rPr>
      </w:pPr>
      <w:r>
        <w:rPr>
          <w:rFonts w:ascii="楷体_GB2312" w:hAnsi="楷体_GB2312"/>
          <w:b/>
          <w:bCs/>
          <w:sz w:val="32"/>
          <w:szCs w:val="32"/>
        </w:rPr>
        <w:t>二、部门预算单位构成</w:t>
      </w:r>
    </w:p>
    <w:p>
      <w:pPr>
        <w:spacing w:line="540" w:lineRule="exact"/>
        <w:ind w:firstLine="720"/>
        <w:rPr>
          <w:rFonts w:ascii="仿宋" w:hAnsi="仿宋" w:eastAsia="仿宋"/>
          <w:sz w:val="28"/>
          <w:szCs w:val="28"/>
        </w:rPr>
      </w:pPr>
      <w:r>
        <w:rPr>
          <w:rFonts w:hint="eastAsia" w:ascii="仿宋" w:hAnsi="仿宋" w:eastAsia="仿宋"/>
          <w:sz w:val="28"/>
          <w:szCs w:val="28"/>
        </w:rPr>
        <w:t>枣庄市商务局部门预算包括：市商务局机关预算、3个局属事业单位预算。纳入枣庄市商务局2016年部门预算编报范围的单位详细情况见下表：</w:t>
      </w:r>
    </w:p>
    <w:tbl>
      <w:tblPr>
        <w:tblStyle w:val="5"/>
        <w:tblW w:w="8709" w:type="dxa"/>
        <w:tblInd w:w="0" w:type="dxa"/>
        <w:tblLayout w:type="fixed"/>
        <w:tblCellMar>
          <w:top w:w="0" w:type="dxa"/>
          <w:left w:w="108" w:type="dxa"/>
          <w:bottom w:w="0" w:type="dxa"/>
          <w:right w:w="108" w:type="dxa"/>
        </w:tblCellMar>
      </w:tblPr>
      <w:tblGrid>
        <w:gridCol w:w="1188"/>
        <w:gridCol w:w="4680"/>
        <w:gridCol w:w="2841"/>
      </w:tblGrid>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ind w:firstLine="140" w:firstLineChars="50"/>
              <w:jc w:val="center"/>
              <w:rPr>
                <w:rFonts w:ascii="仿宋" w:hAnsi="仿宋" w:eastAsia="仿宋"/>
                <w:sz w:val="28"/>
                <w:szCs w:val="28"/>
              </w:rPr>
            </w:pPr>
            <w:r>
              <w:rPr>
                <w:rFonts w:hint="eastAsia" w:ascii="仿宋" w:hAnsi="仿宋" w:eastAsia="仿宋"/>
                <w:sz w:val="28"/>
                <w:szCs w:val="28"/>
              </w:rPr>
              <w:t>序号</w:t>
            </w:r>
          </w:p>
        </w:tc>
        <w:tc>
          <w:tcPr>
            <w:tcW w:w="4680" w:type="dxa"/>
            <w:tcBorders>
              <w:top w:val="single" w:color="auto" w:sz="4" w:space="0"/>
              <w:left w:val="nil"/>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单 位 名 称</w:t>
            </w:r>
          </w:p>
        </w:tc>
        <w:tc>
          <w:tcPr>
            <w:tcW w:w="2841" w:type="dxa"/>
            <w:tcBorders>
              <w:top w:val="single" w:color="auto" w:sz="4" w:space="0"/>
              <w:left w:val="nil"/>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备注</w:t>
            </w:r>
          </w:p>
        </w:tc>
      </w:tr>
      <w:tr>
        <w:tblPrEx>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1</w:t>
            </w:r>
          </w:p>
        </w:tc>
        <w:tc>
          <w:tcPr>
            <w:tcW w:w="4680"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枣庄市商务局机关</w:t>
            </w:r>
          </w:p>
        </w:tc>
        <w:tc>
          <w:tcPr>
            <w:tcW w:w="2841"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453"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2</w:t>
            </w:r>
          </w:p>
        </w:tc>
        <w:tc>
          <w:tcPr>
            <w:tcW w:w="4680"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枣庄市外商投资企业管理办公室</w:t>
            </w:r>
          </w:p>
        </w:tc>
        <w:tc>
          <w:tcPr>
            <w:tcW w:w="2841"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财政拨款事业单位</w:t>
            </w: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3</w:t>
            </w:r>
          </w:p>
        </w:tc>
        <w:tc>
          <w:tcPr>
            <w:tcW w:w="4680"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枣庄市商务行政执法支队（加挂枣庄市12312商务举报投诉中心牌子）</w:t>
            </w:r>
          </w:p>
        </w:tc>
        <w:tc>
          <w:tcPr>
            <w:tcW w:w="2841"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color w:val="000000"/>
                <w:sz w:val="28"/>
                <w:szCs w:val="28"/>
              </w:rPr>
            </w:pPr>
            <w:r>
              <w:rPr>
                <w:rFonts w:hint="eastAsia" w:ascii="仿宋" w:hAnsi="仿宋" w:eastAsia="仿宋"/>
                <w:sz w:val="28"/>
                <w:szCs w:val="28"/>
              </w:rPr>
              <w:t>财政拨款事业单位</w:t>
            </w: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4</w:t>
            </w:r>
          </w:p>
        </w:tc>
        <w:tc>
          <w:tcPr>
            <w:tcW w:w="4680"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枣庄市外来投资者投诉中心</w:t>
            </w:r>
          </w:p>
        </w:tc>
        <w:tc>
          <w:tcPr>
            <w:tcW w:w="2841"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color w:val="000000"/>
                <w:sz w:val="28"/>
                <w:szCs w:val="28"/>
              </w:rPr>
            </w:pPr>
            <w:r>
              <w:rPr>
                <w:rFonts w:hint="eastAsia" w:ascii="仿宋" w:hAnsi="仿宋" w:eastAsia="仿宋"/>
                <w:sz w:val="28"/>
                <w:szCs w:val="28"/>
              </w:rPr>
              <w:t>财政拨款事业单位</w:t>
            </w:r>
          </w:p>
        </w:tc>
      </w:tr>
    </w:tbl>
    <w:p>
      <w:pPr>
        <w:jc w:val="center"/>
        <w:rPr>
          <w:rFonts w:ascii="黑体" w:hAnsi="黑体" w:eastAsia="黑体" w:cs="Times New Roman"/>
          <w:color w:val="000000"/>
          <w:kern w:val="0"/>
          <w:sz w:val="52"/>
          <w:szCs w:val="52"/>
        </w:rPr>
        <w:sectPr>
          <w:pgSz w:w="11906" w:h="16838"/>
          <w:pgMar w:top="1440" w:right="1800" w:bottom="1440" w:left="1800" w:header="851" w:footer="992" w:gutter="0"/>
          <w:cols w:space="425" w:num="1"/>
          <w:docGrid w:type="lines" w:linePitch="312" w:charSpace="0"/>
        </w:sectPr>
      </w:pPr>
      <w:r>
        <w:rPr>
          <w:rFonts w:ascii="黑体" w:hAnsi="黑体" w:eastAsia="黑体" w:cs="Times New Roman"/>
          <w:color w:val="000000"/>
          <w:kern w:val="0"/>
          <w:sz w:val="52"/>
          <w:szCs w:val="52"/>
        </w:rPr>
        <w:br w:type="page"/>
      </w:r>
    </w:p>
    <w:p>
      <w:pPr>
        <w:widowControl/>
        <w:shd w:val="clear" w:color="auto" w:fill="FFFFFF"/>
        <w:rPr>
          <w:rFonts w:ascii="Times New Roman" w:hAnsi="Times New Roman" w:eastAsia="宋体" w:cs="Times New Roman"/>
          <w:color w:val="000000"/>
          <w:kern w:val="0"/>
          <w:szCs w:val="21"/>
        </w:rPr>
      </w:pPr>
      <w:r>
        <w:rPr>
          <w:rFonts w:hint="eastAsia" w:ascii="黑体" w:hAnsi="黑体" w:eastAsia="黑体" w:cs="Times New Roman"/>
          <w:color w:val="000000"/>
          <w:kern w:val="0"/>
          <w:sz w:val="52"/>
          <w:szCs w:val="52"/>
        </w:rPr>
        <w:t>第二部分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宋体"/>
          <w:color w:val="000000"/>
          <w:kern w:val="0"/>
          <w:sz w:val="52"/>
          <w:szCs w:val="52"/>
        </w:rPr>
        <w:t> </w:t>
      </w:r>
    </w:p>
    <w:p>
      <w:pPr>
        <w:widowControl/>
        <w:shd w:val="clear" w:color="auto" w:fill="FFFFFF"/>
        <w:ind w:left="1041" w:hanging="260"/>
        <w:jc w:val="center"/>
        <w:rPr>
          <w:rFonts w:ascii="Times New Roman" w:hAnsi="Times New Roman" w:eastAsia="宋体" w:cs="Times New Roman"/>
          <w:color w:val="000000"/>
          <w:kern w:val="0"/>
          <w:szCs w:val="21"/>
        </w:rPr>
      </w:pPr>
      <w:r>
        <w:rPr>
          <w:rFonts w:hint="eastAsia" w:ascii="宋体" w:hAnsi="宋体" w:eastAsia="宋体" w:cs="宋体"/>
          <w:color w:val="000000"/>
          <w:kern w:val="0"/>
          <w:sz w:val="52"/>
          <w:szCs w:val="52"/>
        </w:rPr>
        <w:t> </w:t>
      </w:r>
    </w:p>
    <w:p>
      <w:pPr>
        <w:widowControl/>
        <w:shd w:val="clear" w:color="auto" w:fill="FFFFFF"/>
        <w:ind w:left="1041" w:hanging="260"/>
        <w:jc w:val="center"/>
        <w:rPr>
          <w:rFonts w:ascii="Times New Roman" w:hAnsi="Times New Roman" w:eastAsia="宋体" w:cs="Times New Roman"/>
          <w:color w:val="000000"/>
          <w:kern w:val="0"/>
          <w:szCs w:val="21"/>
        </w:rPr>
      </w:pPr>
      <w:r>
        <w:rPr>
          <w:rFonts w:hint="eastAsia" w:ascii="黑体" w:hAnsi="黑体" w:eastAsia="黑体" w:cs="Times New Roman"/>
          <w:color w:val="000000"/>
          <w:kern w:val="0"/>
          <w:sz w:val="52"/>
          <w:szCs w:val="52"/>
        </w:rPr>
        <w:t>2016年度部门决算表</w:t>
      </w:r>
    </w:p>
    <w:p>
      <w:pPr>
        <w:widowControl/>
        <w:shd w:val="clear" w:color="auto" w:fill="FFFFFF"/>
        <w:jc w:val="left"/>
        <w:rPr>
          <w:rFonts w:ascii="Times New Roman" w:hAnsi="Times New Roman" w:eastAsia="宋体" w:cs="Times New Roman"/>
          <w:color w:val="000000"/>
          <w:kern w:val="0"/>
          <w:szCs w:val="21"/>
        </w:rPr>
      </w:pPr>
    </w:p>
    <w:p>
      <w:pPr>
        <w:widowControl/>
        <w:shd w:val="clear" w:color="auto" w:fill="FFFFFF"/>
        <w:jc w:val="center"/>
        <w:rPr>
          <w:rFonts w:ascii="宋体" w:hAnsi="宋体" w:eastAsia="宋体" w:cs="宋体"/>
          <w:color w:val="000000"/>
          <w:kern w:val="0"/>
          <w:sz w:val="52"/>
          <w:szCs w:val="52"/>
        </w:rPr>
      </w:pPr>
    </w:p>
    <w:p>
      <w:pPr>
        <w:widowControl/>
        <w:shd w:val="clear" w:color="auto" w:fill="FFFFFF"/>
        <w:jc w:val="center"/>
        <w:rPr>
          <w:rFonts w:ascii="宋体" w:hAnsi="宋体" w:eastAsia="宋体" w:cs="宋体"/>
          <w:color w:val="000000"/>
          <w:kern w:val="0"/>
          <w:sz w:val="52"/>
          <w:szCs w:val="52"/>
        </w:rPr>
      </w:pPr>
    </w:p>
    <w:p>
      <w:pPr>
        <w:widowControl/>
        <w:shd w:val="clear" w:color="auto" w:fill="FFFFFF"/>
        <w:jc w:val="center"/>
        <w:rPr>
          <w:rFonts w:ascii="宋体" w:hAnsi="宋体" w:eastAsia="宋体" w:cs="宋体"/>
          <w:color w:val="000000"/>
          <w:kern w:val="0"/>
          <w:sz w:val="52"/>
          <w:szCs w:val="52"/>
        </w:rPr>
      </w:pPr>
    </w:p>
    <w:p>
      <w:pPr>
        <w:widowControl/>
        <w:jc w:val="left"/>
        <w:rPr>
          <w:rFonts w:ascii="宋体" w:hAnsi="宋体" w:eastAsia="宋体" w:cs="宋体"/>
          <w:color w:val="000000"/>
          <w:kern w:val="0"/>
          <w:sz w:val="52"/>
          <w:szCs w:val="52"/>
        </w:rPr>
      </w:pPr>
      <w:r>
        <w:rPr>
          <w:rFonts w:ascii="宋体" w:hAnsi="宋体" w:eastAsia="宋体" w:cs="宋体"/>
          <w:color w:val="000000"/>
          <w:kern w:val="0"/>
          <w:sz w:val="52"/>
          <w:szCs w:val="52"/>
        </w:rPr>
        <w:br w:type="page"/>
      </w:r>
    </w:p>
    <w:p>
      <w:pPr>
        <w:widowControl/>
        <w:jc w:val="center"/>
        <w:rPr>
          <w:rFonts w:ascii="宋体" w:hAnsi="宋体" w:eastAsia="宋体" w:cs="Arial"/>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5"/>
        <w:tblW w:w="9854" w:type="dxa"/>
        <w:tblInd w:w="0" w:type="dxa"/>
        <w:tblLayout w:type="fixed"/>
        <w:tblCellMar>
          <w:top w:w="15" w:type="dxa"/>
          <w:left w:w="108" w:type="dxa"/>
          <w:bottom w:w="15" w:type="dxa"/>
          <w:right w:w="108" w:type="dxa"/>
        </w:tblCellMar>
      </w:tblPr>
      <w:tblGrid>
        <w:gridCol w:w="2541"/>
        <w:gridCol w:w="400"/>
        <w:gridCol w:w="231"/>
        <w:gridCol w:w="392"/>
        <w:gridCol w:w="1222"/>
        <w:gridCol w:w="3203"/>
        <w:gridCol w:w="625"/>
        <w:gridCol w:w="1240"/>
      </w:tblGrid>
      <w:tr>
        <w:tblPrEx>
          <w:tblLayout w:type="fixed"/>
          <w:tblCellMar>
            <w:top w:w="15" w:type="dxa"/>
            <w:left w:w="108" w:type="dxa"/>
            <w:bottom w:w="15" w:type="dxa"/>
            <w:right w:w="108" w:type="dxa"/>
          </w:tblCellMar>
        </w:tblPrEx>
        <w:trPr>
          <w:trHeight w:val="390" w:hRule="atLeast"/>
        </w:trPr>
        <w:tc>
          <w:tcPr>
            <w:tcW w:w="9854" w:type="dxa"/>
            <w:gridSpan w:val="8"/>
            <w:vAlign w:val="bottom"/>
          </w:tcPr>
          <w:p>
            <w:pPr>
              <w:widowControl/>
              <w:jc w:val="center"/>
              <w:rPr>
                <w:rFonts w:ascii="Arial" w:hAnsi="Arial" w:eastAsia="宋体" w:cs="Arial"/>
                <w:color w:val="000000"/>
                <w:kern w:val="0"/>
                <w:sz w:val="44"/>
                <w:szCs w:val="44"/>
              </w:rPr>
            </w:pPr>
            <w:r>
              <w:rPr>
                <w:rFonts w:hint="eastAsia" w:ascii="宋体" w:hAnsi="宋体" w:eastAsia="宋体" w:cs="Arial"/>
                <w:color w:val="000000"/>
                <w:kern w:val="0"/>
                <w:sz w:val="44"/>
                <w:szCs w:val="44"/>
              </w:rPr>
              <w:t>收入支出决算批复表</w:t>
            </w:r>
          </w:p>
        </w:tc>
      </w:tr>
      <w:tr>
        <w:tblPrEx>
          <w:tblLayout w:type="fixed"/>
          <w:tblCellMar>
            <w:top w:w="15" w:type="dxa"/>
            <w:left w:w="108" w:type="dxa"/>
            <w:bottom w:w="15" w:type="dxa"/>
            <w:right w:w="108" w:type="dxa"/>
          </w:tblCellMar>
        </w:tblPrEx>
        <w:trPr>
          <w:trHeight w:val="284" w:hRule="exact"/>
        </w:trPr>
        <w:tc>
          <w:tcPr>
            <w:tcW w:w="2541" w:type="dxa"/>
            <w:vAlign w:val="bottom"/>
          </w:tcPr>
          <w:p>
            <w:pPr>
              <w:widowControl/>
              <w:jc w:val="left"/>
              <w:rPr>
                <w:rFonts w:ascii="Arial" w:hAnsi="Arial" w:eastAsia="宋体" w:cs="Arial"/>
                <w:color w:val="000000"/>
                <w:kern w:val="0"/>
                <w:sz w:val="20"/>
                <w:szCs w:val="20"/>
              </w:rPr>
            </w:pPr>
          </w:p>
        </w:tc>
        <w:tc>
          <w:tcPr>
            <w:tcW w:w="631" w:type="dxa"/>
            <w:gridSpan w:val="2"/>
            <w:vAlign w:val="bottom"/>
          </w:tcPr>
          <w:p>
            <w:pPr>
              <w:widowControl/>
              <w:jc w:val="left"/>
              <w:rPr>
                <w:rFonts w:ascii="Arial" w:hAnsi="Arial" w:eastAsia="宋体" w:cs="Arial"/>
                <w:color w:val="000000"/>
                <w:kern w:val="0"/>
                <w:sz w:val="20"/>
                <w:szCs w:val="20"/>
              </w:rPr>
            </w:pPr>
          </w:p>
        </w:tc>
        <w:tc>
          <w:tcPr>
            <w:tcW w:w="1614" w:type="dxa"/>
            <w:gridSpan w:val="2"/>
            <w:vAlign w:val="bottom"/>
          </w:tcPr>
          <w:p>
            <w:pPr>
              <w:widowControl/>
              <w:jc w:val="left"/>
              <w:rPr>
                <w:rFonts w:ascii="Arial" w:hAnsi="Arial" w:eastAsia="宋体" w:cs="Arial"/>
                <w:color w:val="000000"/>
                <w:kern w:val="0"/>
                <w:sz w:val="20"/>
                <w:szCs w:val="20"/>
              </w:rPr>
            </w:pPr>
          </w:p>
        </w:tc>
        <w:tc>
          <w:tcPr>
            <w:tcW w:w="5068" w:type="dxa"/>
            <w:gridSpan w:val="3"/>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财决批复01表</w:t>
            </w:r>
          </w:p>
        </w:tc>
      </w:tr>
      <w:tr>
        <w:tblPrEx>
          <w:tblLayout w:type="fixed"/>
          <w:tblCellMar>
            <w:top w:w="15" w:type="dxa"/>
            <w:left w:w="108" w:type="dxa"/>
            <w:bottom w:w="15" w:type="dxa"/>
            <w:right w:w="108" w:type="dxa"/>
          </w:tblCellMar>
        </w:tblPrEx>
        <w:trPr>
          <w:trHeight w:val="284" w:hRule="exact"/>
        </w:trPr>
        <w:tc>
          <w:tcPr>
            <w:tcW w:w="3172" w:type="dxa"/>
            <w:gridSpan w:val="3"/>
            <w:tcBorders>
              <w:bottom w:val="single" w:color="000000" w:sz="4" w:space="0"/>
            </w:tcBorders>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部门：枣庄市商务局（本级）</w:t>
            </w:r>
          </w:p>
        </w:tc>
        <w:tc>
          <w:tcPr>
            <w:tcW w:w="1614" w:type="dxa"/>
            <w:gridSpan w:val="2"/>
            <w:tcBorders>
              <w:bottom w:val="single" w:color="000000" w:sz="4" w:space="0"/>
            </w:tcBorders>
            <w:vAlign w:val="bottom"/>
          </w:tcPr>
          <w:p>
            <w:pPr>
              <w:widowControl/>
              <w:jc w:val="left"/>
              <w:rPr>
                <w:rFonts w:ascii="Arial" w:hAnsi="Arial" w:eastAsia="宋体" w:cs="Arial"/>
                <w:color w:val="000000"/>
                <w:kern w:val="0"/>
                <w:sz w:val="20"/>
                <w:szCs w:val="20"/>
              </w:rPr>
            </w:pPr>
          </w:p>
        </w:tc>
        <w:tc>
          <w:tcPr>
            <w:tcW w:w="5068" w:type="dxa"/>
            <w:gridSpan w:val="3"/>
            <w:tcBorders>
              <w:bottom w:val="single" w:color="000000" w:sz="4" w:space="0"/>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15" w:type="dxa"/>
            <w:left w:w="108" w:type="dxa"/>
            <w:bottom w:w="15" w:type="dxa"/>
            <w:right w:w="108" w:type="dxa"/>
          </w:tblCellMar>
        </w:tblPrEx>
        <w:trPr>
          <w:trHeight w:val="300" w:hRule="atLeast"/>
        </w:trPr>
        <w:tc>
          <w:tcPr>
            <w:tcW w:w="4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5068" w:type="dxa"/>
            <w:gridSpan w:val="3"/>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一、财政拨款收入</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1,323.54</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887.66</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其中：政府性基金预算财政拨款</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二、上级补助收入</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三、事业收入</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四、经营收入</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五、附属单位上缴收入</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六、其他收入</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七、文化体育与传媒支出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九、医疗卫生与计划生育支出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十四、资源勘探信息等支出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20.63</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十八、国土海洋气象等支出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二十一、其他支出</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1,323.54</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1,139.50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用事业基金弥补收支差额</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结余分配</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其中：提取职工福利基金</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其中：项目支出结转和结余</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转入事业基金</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220.11</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其中：项目支出结转和结余</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220.11</w:t>
            </w: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57</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00" w:hRule="atLeast"/>
        </w:trPr>
        <w:tc>
          <w:tcPr>
            <w:tcW w:w="2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623"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122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1,359.61</w:t>
            </w:r>
          </w:p>
        </w:tc>
        <w:tc>
          <w:tcPr>
            <w:tcW w:w="320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62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58</w:t>
            </w:r>
          </w:p>
        </w:tc>
        <w:tc>
          <w:tcPr>
            <w:tcW w:w="124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1,359.61</w:t>
            </w:r>
          </w:p>
        </w:tc>
      </w:tr>
      <w:tr>
        <w:tblPrEx>
          <w:tblLayout w:type="fixed"/>
          <w:tblCellMar>
            <w:top w:w="15" w:type="dxa"/>
            <w:left w:w="108" w:type="dxa"/>
            <w:bottom w:w="15" w:type="dxa"/>
            <w:right w:w="108" w:type="dxa"/>
          </w:tblCellMar>
        </w:tblPrEx>
        <w:trPr>
          <w:trHeight w:val="300" w:hRule="atLeast"/>
        </w:trPr>
        <w:tc>
          <w:tcPr>
            <w:tcW w:w="9854" w:type="dxa"/>
            <w:gridSpan w:val="8"/>
            <w:tcBorders>
              <w:top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注：1.本表依据《收入支出决算总表》（财决01表）进行批复。</w:t>
            </w:r>
          </w:p>
        </w:tc>
      </w:tr>
      <w:tr>
        <w:tblPrEx>
          <w:tblLayout w:type="fixed"/>
          <w:tblCellMar>
            <w:top w:w="15" w:type="dxa"/>
            <w:left w:w="108" w:type="dxa"/>
            <w:bottom w:w="15" w:type="dxa"/>
            <w:right w:w="108" w:type="dxa"/>
          </w:tblCellMar>
        </w:tblPrEx>
        <w:trPr>
          <w:trHeight w:val="300" w:hRule="atLeast"/>
        </w:trPr>
        <w:tc>
          <w:tcPr>
            <w:tcW w:w="9854" w:type="dxa"/>
            <w:gridSpan w:val="8"/>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2.本表含政府性基金预算财政拨款。</w:t>
            </w:r>
          </w:p>
        </w:tc>
      </w:tr>
      <w:tr>
        <w:tblPrEx>
          <w:tblLayout w:type="fixed"/>
          <w:tblCellMar>
            <w:top w:w="15" w:type="dxa"/>
            <w:left w:w="108" w:type="dxa"/>
            <w:bottom w:w="15" w:type="dxa"/>
            <w:right w:w="108" w:type="dxa"/>
          </w:tblCellMar>
        </w:tblPrEx>
        <w:trPr>
          <w:trHeight w:val="300" w:hRule="atLeast"/>
        </w:trPr>
        <w:tc>
          <w:tcPr>
            <w:tcW w:w="9854" w:type="dxa"/>
            <w:gridSpan w:val="8"/>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3.本表以“万元”为金额单位（保留两位小数）。</w:t>
            </w:r>
          </w:p>
        </w:tc>
      </w:tr>
    </w:tbl>
    <w:p>
      <w:pPr>
        <w:widowControl/>
        <w:shd w:val="clear" w:color="auto" w:fill="FFFFFF"/>
        <w:jc w:val="center"/>
        <w:rPr>
          <w:rFonts w:ascii="Times New Roman" w:hAnsi="Times New Roman" w:eastAsia="宋体" w:cs="Times New Roman"/>
          <w:color w:val="000000"/>
          <w:kern w:val="0"/>
          <w:szCs w:val="21"/>
        </w:rPr>
        <w:sectPr>
          <w:pgSz w:w="11906" w:h="16838"/>
          <w:pgMar w:top="1134" w:right="1134" w:bottom="1134" w:left="1134" w:header="851" w:footer="992" w:gutter="0"/>
          <w:cols w:space="425" w:num="1"/>
          <w:docGrid w:type="linesAndChars" w:linePitch="312" w:charSpace="0"/>
        </w:sectPr>
      </w:pPr>
    </w:p>
    <w:p>
      <w:pPr>
        <w:widowControl/>
        <w:shd w:val="clear" w:color="auto" w:fill="FFFFFF"/>
        <w:jc w:val="center"/>
        <w:rPr>
          <w:rFonts w:ascii="Times New Roman" w:hAnsi="Times New Roman" w:eastAsia="宋体" w:cs="Times New Roman"/>
          <w:color w:val="000000"/>
          <w:kern w:val="0"/>
          <w:szCs w:val="21"/>
        </w:rPr>
      </w:pPr>
    </w:p>
    <w:tbl>
      <w:tblPr>
        <w:tblStyle w:val="5"/>
        <w:tblW w:w="13740" w:type="dxa"/>
        <w:tblInd w:w="93" w:type="dxa"/>
        <w:tblLayout w:type="fixed"/>
        <w:tblCellMar>
          <w:top w:w="15" w:type="dxa"/>
          <w:left w:w="108" w:type="dxa"/>
          <w:bottom w:w="15" w:type="dxa"/>
          <w:right w:w="108" w:type="dxa"/>
        </w:tblCellMar>
      </w:tblPr>
      <w:tblGrid>
        <w:gridCol w:w="617"/>
        <w:gridCol w:w="927"/>
        <w:gridCol w:w="739"/>
        <w:gridCol w:w="188"/>
        <w:gridCol w:w="4207"/>
        <w:gridCol w:w="1264"/>
        <w:gridCol w:w="1103"/>
        <w:gridCol w:w="939"/>
        <w:gridCol w:w="939"/>
        <w:gridCol w:w="939"/>
        <w:gridCol w:w="939"/>
        <w:gridCol w:w="939"/>
      </w:tblGrid>
      <w:tr>
        <w:tblPrEx>
          <w:tblLayout w:type="fixed"/>
          <w:tblCellMar>
            <w:top w:w="15" w:type="dxa"/>
            <w:left w:w="108" w:type="dxa"/>
            <w:bottom w:w="15" w:type="dxa"/>
            <w:right w:w="108" w:type="dxa"/>
          </w:tblCellMar>
        </w:tblPrEx>
        <w:trPr>
          <w:trHeight w:val="390" w:hRule="atLeast"/>
        </w:trPr>
        <w:tc>
          <w:tcPr>
            <w:tcW w:w="13740" w:type="dxa"/>
            <w:gridSpan w:val="12"/>
            <w:vAlign w:val="bottom"/>
          </w:tcPr>
          <w:p>
            <w:pPr>
              <w:widowControl/>
              <w:jc w:val="center"/>
              <w:rPr>
                <w:rFonts w:ascii="Arial" w:hAnsi="Arial" w:eastAsia="宋体" w:cs="Arial"/>
                <w:color w:val="000000"/>
                <w:kern w:val="0"/>
                <w:sz w:val="20"/>
                <w:szCs w:val="20"/>
              </w:rPr>
            </w:pPr>
            <w:r>
              <w:rPr>
                <w:rFonts w:ascii="黑体" w:hAnsi="黑体" w:eastAsia="黑体" w:cs="Times New Roman"/>
                <w:color w:val="000000"/>
                <w:kern w:val="0"/>
                <w:sz w:val="52"/>
                <w:szCs w:val="52"/>
              </w:rPr>
              <w:br w:type="page"/>
            </w:r>
            <w:r>
              <w:rPr>
                <w:rFonts w:hint="eastAsia" w:ascii="宋体" w:hAnsi="宋体" w:eastAsia="宋体" w:cs="Arial"/>
                <w:color w:val="000000"/>
                <w:kern w:val="0"/>
                <w:sz w:val="44"/>
                <w:szCs w:val="44"/>
              </w:rPr>
              <w:t>收入决算批复表</w:t>
            </w:r>
          </w:p>
        </w:tc>
      </w:tr>
      <w:tr>
        <w:tblPrEx>
          <w:tblLayout w:type="fixed"/>
          <w:tblCellMar>
            <w:top w:w="15" w:type="dxa"/>
            <w:left w:w="108" w:type="dxa"/>
            <w:bottom w:w="15" w:type="dxa"/>
            <w:right w:w="108" w:type="dxa"/>
          </w:tblCellMar>
        </w:tblPrEx>
        <w:trPr>
          <w:trHeight w:val="285" w:hRule="atLeast"/>
        </w:trPr>
        <w:tc>
          <w:tcPr>
            <w:tcW w:w="617" w:type="dxa"/>
            <w:vAlign w:val="bottom"/>
          </w:tcPr>
          <w:p>
            <w:pPr>
              <w:widowControl/>
              <w:jc w:val="left"/>
              <w:rPr>
                <w:rFonts w:ascii="Arial" w:hAnsi="Arial" w:eastAsia="宋体" w:cs="Arial"/>
                <w:color w:val="000000"/>
                <w:kern w:val="0"/>
                <w:sz w:val="20"/>
                <w:szCs w:val="20"/>
              </w:rPr>
            </w:pPr>
          </w:p>
        </w:tc>
        <w:tc>
          <w:tcPr>
            <w:tcW w:w="927" w:type="dxa"/>
            <w:vAlign w:val="bottom"/>
          </w:tcPr>
          <w:p>
            <w:pPr>
              <w:widowControl/>
              <w:jc w:val="left"/>
              <w:rPr>
                <w:rFonts w:ascii="Arial" w:hAnsi="Arial" w:eastAsia="宋体" w:cs="Arial"/>
                <w:color w:val="000000"/>
                <w:kern w:val="0"/>
                <w:sz w:val="20"/>
                <w:szCs w:val="20"/>
              </w:rPr>
            </w:pPr>
          </w:p>
        </w:tc>
        <w:tc>
          <w:tcPr>
            <w:tcW w:w="927" w:type="dxa"/>
            <w:gridSpan w:val="2"/>
            <w:vAlign w:val="bottom"/>
          </w:tcPr>
          <w:p>
            <w:pPr>
              <w:widowControl/>
              <w:jc w:val="left"/>
              <w:rPr>
                <w:rFonts w:ascii="Arial" w:hAnsi="Arial" w:eastAsia="宋体" w:cs="Arial"/>
                <w:color w:val="000000"/>
                <w:kern w:val="0"/>
                <w:sz w:val="20"/>
                <w:szCs w:val="20"/>
              </w:rPr>
            </w:pPr>
          </w:p>
        </w:tc>
        <w:tc>
          <w:tcPr>
            <w:tcW w:w="4207" w:type="dxa"/>
            <w:vAlign w:val="bottom"/>
          </w:tcPr>
          <w:p>
            <w:pPr>
              <w:widowControl/>
              <w:jc w:val="left"/>
              <w:rPr>
                <w:rFonts w:ascii="Arial" w:hAnsi="Arial" w:eastAsia="宋体" w:cs="Arial"/>
                <w:color w:val="000000"/>
                <w:kern w:val="0"/>
                <w:sz w:val="20"/>
                <w:szCs w:val="20"/>
              </w:rPr>
            </w:pPr>
          </w:p>
        </w:tc>
        <w:tc>
          <w:tcPr>
            <w:tcW w:w="1264" w:type="dxa"/>
            <w:vAlign w:val="bottom"/>
          </w:tcPr>
          <w:p>
            <w:pPr>
              <w:widowControl/>
              <w:jc w:val="left"/>
              <w:rPr>
                <w:rFonts w:ascii="Arial" w:hAnsi="Arial" w:eastAsia="宋体" w:cs="Arial"/>
                <w:color w:val="000000"/>
                <w:kern w:val="0"/>
                <w:sz w:val="20"/>
                <w:szCs w:val="20"/>
              </w:rPr>
            </w:pPr>
          </w:p>
        </w:tc>
        <w:tc>
          <w:tcPr>
            <w:tcW w:w="1103" w:type="dxa"/>
            <w:vAlign w:val="bottom"/>
          </w:tcPr>
          <w:p>
            <w:pPr>
              <w:widowControl/>
              <w:jc w:val="left"/>
              <w:rPr>
                <w:rFonts w:ascii="Arial" w:hAnsi="Arial" w:eastAsia="宋体" w:cs="Arial"/>
                <w:color w:val="000000"/>
                <w:kern w:val="0"/>
                <w:sz w:val="20"/>
                <w:szCs w:val="20"/>
              </w:rPr>
            </w:pPr>
          </w:p>
        </w:tc>
        <w:tc>
          <w:tcPr>
            <w:tcW w:w="939" w:type="dxa"/>
            <w:vAlign w:val="bottom"/>
          </w:tcPr>
          <w:p>
            <w:pPr>
              <w:widowControl/>
              <w:jc w:val="left"/>
              <w:rPr>
                <w:rFonts w:ascii="Arial" w:hAnsi="Arial" w:eastAsia="宋体" w:cs="Arial"/>
                <w:color w:val="000000"/>
                <w:kern w:val="0"/>
                <w:sz w:val="20"/>
                <w:szCs w:val="20"/>
              </w:rPr>
            </w:pPr>
          </w:p>
        </w:tc>
        <w:tc>
          <w:tcPr>
            <w:tcW w:w="939" w:type="dxa"/>
            <w:vAlign w:val="bottom"/>
          </w:tcPr>
          <w:p>
            <w:pPr>
              <w:widowControl/>
              <w:jc w:val="left"/>
              <w:rPr>
                <w:rFonts w:ascii="Arial" w:hAnsi="Arial" w:eastAsia="宋体" w:cs="Arial"/>
                <w:color w:val="000000"/>
                <w:kern w:val="0"/>
                <w:sz w:val="20"/>
                <w:szCs w:val="20"/>
              </w:rPr>
            </w:pPr>
          </w:p>
        </w:tc>
        <w:tc>
          <w:tcPr>
            <w:tcW w:w="2817" w:type="dxa"/>
            <w:gridSpan w:val="3"/>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财决批复02表</w:t>
            </w:r>
          </w:p>
        </w:tc>
      </w:tr>
      <w:tr>
        <w:tblPrEx>
          <w:tblLayout w:type="fixed"/>
          <w:tblCellMar>
            <w:top w:w="15" w:type="dxa"/>
            <w:left w:w="108" w:type="dxa"/>
            <w:bottom w:w="15" w:type="dxa"/>
            <w:right w:w="108" w:type="dxa"/>
          </w:tblCellMar>
        </w:tblPrEx>
        <w:trPr>
          <w:trHeight w:val="270" w:hRule="atLeast"/>
        </w:trPr>
        <w:tc>
          <w:tcPr>
            <w:tcW w:w="6678" w:type="dxa"/>
            <w:gridSpan w:val="5"/>
            <w:tcBorders>
              <w:bottom w:val="single" w:color="000000" w:sz="4" w:space="0"/>
            </w:tcBorders>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部门：枣庄市商务局（本级）</w:t>
            </w:r>
          </w:p>
        </w:tc>
        <w:tc>
          <w:tcPr>
            <w:tcW w:w="1264" w:type="dxa"/>
            <w:tcBorders>
              <w:bottom w:val="single" w:color="000000" w:sz="4" w:space="0"/>
            </w:tcBorders>
            <w:vAlign w:val="bottom"/>
          </w:tcPr>
          <w:p>
            <w:pPr>
              <w:widowControl/>
              <w:jc w:val="left"/>
              <w:rPr>
                <w:rFonts w:ascii="Arial" w:hAnsi="Arial" w:eastAsia="宋体" w:cs="Arial"/>
                <w:color w:val="000000"/>
                <w:kern w:val="0"/>
                <w:sz w:val="20"/>
                <w:szCs w:val="20"/>
              </w:rPr>
            </w:pPr>
          </w:p>
        </w:tc>
        <w:tc>
          <w:tcPr>
            <w:tcW w:w="1103" w:type="dxa"/>
            <w:tcBorders>
              <w:bottom w:val="single" w:color="000000" w:sz="4" w:space="0"/>
            </w:tcBorders>
            <w:vAlign w:val="bottom"/>
          </w:tcPr>
          <w:p>
            <w:pPr>
              <w:widowControl/>
              <w:jc w:val="left"/>
              <w:rPr>
                <w:rFonts w:ascii="Arial" w:hAnsi="Arial" w:eastAsia="宋体" w:cs="Arial"/>
                <w:color w:val="000000"/>
                <w:kern w:val="0"/>
                <w:sz w:val="20"/>
                <w:szCs w:val="20"/>
              </w:rPr>
            </w:pPr>
          </w:p>
        </w:tc>
        <w:tc>
          <w:tcPr>
            <w:tcW w:w="939" w:type="dxa"/>
            <w:tcBorders>
              <w:bottom w:val="single" w:color="000000" w:sz="4" w:space="0"/>
            </w:tcBorders>
            <w:vAlign w:val="bottom"/>
          </w:tcPr>
          <w:p>
            <w:pPr>
              <w:widowControl/>
              <w:jc w:val="left"/>
              <w:rPr>
                <w:rFonts w:ascii="Arial" w:hAnsi="Arial" w:eastAsia="宋体" w:cs="Arial"/>
                <w:color w:val="000000"/>
                <w:kern w:val="0"/>
                <w:sz w:val="20"/>
                <w:szCs w:val="20"/>
              </w:rPr>
            </w:pPr>
          </w:p>
        </w:tc>
        <w:tc>
          <w:tcPr>
            <w:tcW w:w="939" w:type="dxa"/>
            <w:tcBorders>
              <w:bottom w:val="single" w:color="000000" w:sz="4" w:space="0"/>
            </w:tcBorders>
            <w:vAlign w:val="bottom"/>
          </w:tcPr>
          <w:p>
            <w:pPr>
              <w:widowControl/>
              <w:jc w:val="left"/>
              <w:rPr>
                <w:rFonts w:ascii="Arial" w:hAnsi="Arial" w:eastAsia="宋体" w:cs="Arial"/>
                <w:color w:val="000000"/>
                <w:kern w:val="0"/>
                <w:sz w:val="20"/>
                <w:szCs w:val="20"/>
              </w:rPr>
            </w:pPr>
          </w:p>
        </w:tc>
        <w:tc>
          <w:tcPr>
            <w:tcW w:w="2817" w:type="dxa"/>
            <w:gridSpan w:val="3"/>
            <w:tcBorders>
              <w:bottom w:val="single" w:color="000000" w:sz="4" w:space="0"/>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15" w:type="dxa"/>
            <w:left w:w="108" w:type="dxa"/>
            <w:bottom w:w="15" w:type="dxa"/>
            <w:right w:w="108" w:type="dxa"/>
          </w:tblCellMar>
        </w:tblPrEx>
        <w:trPr>
          <w:trHeight w:val="312" w:hRule="atLeast"/>
        </w:trPr>
        <w:tc>
          <w:tcPr>
            <w:tcW w:w="228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4395" w:type="dxa"/>
            <w:gridSpan w:val="2"/>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64"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10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939"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939"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939"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939"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939"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Layout w:type="fixed"/>
          <w:tblCellMar>
            <w:top w:w="15" w:type="dxa"/>
            <w:left w:w="108" w:type="dxa"/>
            <w:bottom w:w="15" w:type="dxa"/>
            <w:right w:w="108" w:type="dxa"/>
          </w:tblCellMar>
        </w:tblPrEx>
        <w:trPr>
          <w:trHeight w:val="312" w:hRule="atLeast"/>
        </w:trPr>
        <w:tc>
          <w:tcPr>
            <w:tcW w:w="22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395" w:type="dxa"/>
            <w:gridSpan w:val="2"/>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64"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12" w:hRule="atLeast"/>
        </w:trPr>
        <w:tc>
          <w:tcPr>
            <w:tcW w:w="22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395" w:type="dxa"/>
            <w:gridSpan w:val="2"/>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64"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12" w:hRule="atLeast"/>
        </w:trPr>
        <w:tc>
          <w:tcPr>
            <w:tcW w:w="22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395" w:type="dxa"/>
            <w:gridSpan w:val="2"/>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64"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00" w:hRule="atLeast"/>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92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739"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4395"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264"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0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Layout w:type="fixed"/>
          <w:tblCellMar>
            <w:top w:w="15" w:type="dxa"/>
            <w:left w:w="108" w:type="dxa"/>
            <w:bottom w:w="15" w:type="dxa"/>
            <w:right w:w="108" w:type="dxa"/>
          </w:tblCellMar>
        </w:tblPrEx>
        <w:trPr>
          <w:trHeight w:val="300" w:hRule="atLeast"/>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27"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39"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395"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26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1,323.54</w:t>
            </w:r>
          </w:p>
        </w:tc>
        <w:tc>
          <w:tcPr>
            <w:tcW w:w="1103"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1,323.54</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939"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851.59</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851.59</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商贸事务</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851.59</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851.59</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2011301</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837.45</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837.45</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2011302</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9.15</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9.15</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2011308</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招商引资</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20508</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进修及培训</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2050803</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2080801</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死亡抚恤</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12.19</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12.19</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2080899</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交通运输支出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21406</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车辆购置税支出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2140603</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车辆购置税用于老旧汽车报废更新补贴</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商业服务业等支出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21602</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商业流通事务</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2160299</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其他商业流通事务支出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21606</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涉外发展服务支出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2160699</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其他涉外发展服务支出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28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4395" w:type="dxa"/>
            <w:gridSpan w:val="2"/>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26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9"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13740" w:type="dxa"/>
            <w:gridSpan w:val="12"/>
            <w:tcBorders>
              <w:top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注：1.本表依据《收入决算表》（财决03表）进行批复。</w:t>
            </w:r>
          </w:p>
        </w:tc>
      </w:tr>
      <w:tr>
        <w:tblPrEx>
          <w:tblLayout w:type="fixed"/>
          <w:tblCellMar>
            <w:top w:w="15" w:type="dxa"/>
            <w:left w:w="108" w:type="dxa"/>
            <w:bottom w:w="15" w:type="dxa"/>
            <w:right w:w="108" w:type="dxa"/>
          </w:tblCellMar>
        </w:tblPrEx>
        <w:trPr>
          <w:trHeight w:val="300" w:hRule="atLeast"/>
        </w:trPr>
        <w:tc>
          <w:tcPr>
            <w:tcW w:w="13740" w:type="dxa"/>
            <w:gridSpan w:val="12"/>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2.本表含政府性基金预算财政拨款。</w:t>
            </w:r>
          </w:p>
        </w:tc>
      </w:tr>
      <w:tr>
        <w:tblPrEx>
          <w:tblLayout w:type="fixed"/>
          <w:tblCellMar>
            <w:top w:w="15" w:type="dxa"/>
            <w:left w:w="108" w:type="dxa"/>
            <w:bottom w:w="15" w:type="dxa"/>
            <w:right w:w="108" w:type="dxa"/>
          </w:tblCellMar>
        </w:tblPrEx>
        <w:trPr>
          <w:trHeight w:val="300" w:hRule="atLeast"/>
        </w:trPr>
        <w:tc>
          <w:tcPr>
            <w:tcW w:w="13740" w:type="dxa"/>
            <w:gridSpan w:val="12"/>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3.本表批复到项级科目。</w:t>
            </w:r>
          </w:p>
        </w:tc>
      </w:tr>
      <w:tr>
        <w:tblPrEx>
          <w:tblLayout w:type="fixed"/>
          <w:tblCellMar>
            <w:top w:w="15" w:type="dxa"/>
            <w:left w:w="108" w:type="dxa"/>
            <w:bottom w:w="15" w:type="dxa"/>
            <w:right w:w="108" w:type="dxa"/>
          </w:tblCellMar>
        </w:tblPrEx>
        <w:trPr>
          <w:trHeight w:val="300" w:hRule="atLeast"/>
        </w:trPr>
        <w:tc>
          <w:tcPr>
            <w:tcW w:w="13740" w:type="dxa"/>
            <w:gridSpan w:val="12"/>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4.本表以“万元”为金额单位（保留两位小数）。</w:t>
            </w:r>
          </w:p>
        </w:tc>
      </w:tr>
    </w:tbl>
    <w:p>
      <w:pPr>
        <w:widowControl/>
        <w:jc w:val="left"/>
        <w:rPr>
          <w:rFonts w:ascii="黑体" w:hAnsi="黑体" w:eastAsia="黑体" w:cs="Times New Roman"/>
          <w:color w:val="000000"/>
          <w:kern w:val="0"/>
          <w:sz w:val="52"/>
          <w:szCs w:val="52"/>
        </w:rPr>
      </w:pPr>
      <w:r>
        <w:rPr>
          <w:rFonts w:ascii="黑体" w:hAnsi="黑体" w:eastAsia="黑体" w:cs="Times New Roman"/>
          <w:color w:val="000000"/>
          <w:kern w:val="0"/>
          <w:sz w:val="52"/>
          <w:szCs w:val="52"/>
        </w:rPr>
        <w:br w:type="page"/>
      </w:r>
    </w:p>
    <w:tbl>
      <w:tblPr>
        <w:tblStyle w:val="5"/>
        <w:tblW w:w="14786" w:type="dxa"/>
        <w:tblInd w:w="0" w:type="dxa"/>
        <w:tblLayout w:type="fixed"/>
        <w:tblCellMar>
          <w:top w:w="15" w:type="dxa"/>
          <w:left w:w="108" w:type="dxa"/>
          <w:bottom w:w="15" w:type="dxa"/>
          <w:right w:w="108" w:type="dxa"/>
        </w:tblCellMar>
      </w:tblPr>
      <w:tblGrid>
        <w:gridCol w:w="713"/>
        <w:gridCol w:w="1081"/>
        <w:gridCol w:w="1083"/>
        <w:gridCol w:w="5012"/>
        <w:gridCol w:w="1407"/>
        <w:gridCol w:w="1105"/>
        <w:gridCol w:w="1105"/>
        <w:gridCol w:w="1094"/>
        <w:gridCol w:w="1093"/>
        <w:gridCol w:w="1093"/>
      </w:tblGrid>
      <w:tr>
        <w:tblPrEx>
          <w:tblLayout w:type="fixed"/>
          <w:tblCellMar>
            <w:top w:w="15" w:type="dxa"/>
            <w:left w:w="108" w:type="dxa"/>
            <w:bottom w:w="15" w:type="dxa"/>
            <w:right w:w="108" w:type="dxa"/>
          </w:tblCellMar>
        </w:tblPrEx>
        <w:trPr>
          <w:trHeight w:val="390" w:hRule="atLeast"/>
        </w:trPr>
        <w:tc>
          <w:tcPr>
            <w:tcW w:w="14786" w:type="dxa"/>
            <w:gridSpan w:val="10"/>
            <w:vAlign w:val="bottom"/>
          </w:tcPr>
          <w:p>
            <w:pPr>
              <w:widowControl/>
              <w:jc w:val="center"/>
              <w:rPr>
                <w:rFonts w:ascii="Arial" w:hAnsi="Arial" w:eastAsia="宋体" w:cs="Arial"/>
                <w:color w:val="000000"/>
                <w:kern w:val="0"/>
                <w:sz w:val="20"/>
                <w:szCs w:val="20"/>
              </w:rPr>
            </w:pPr>
            <w:r>
              <w:rPr>
                <w:rFonts w:hint="eastAsia" w:ascii="宋体" w:hAnsi="宋体" w:eastAsia="宋体" w:cs="Arial"/>
                <w:color w:val="000000"/>
                <w:kern w:val="0"/>
                <w:sz w:val="44"/>
                <w:szCs w:val="44"/>
              </w:rPr>
              <w:t>支出决算批复表</w:t>
            </w:r>
          </w:p>
        </w:tc>
      </w:tr>
      <w:tr>
        <w:tblPrEx>
          <w:tblLayout w:type="fixed"/>
          <w:tblCellMar>
            <w:top w:w="15" w:type="dxa"/>
            <w:left w:w="108" w:type="dxa"/>
            <w:bottom w:w="15" w:type="dxa"/>
            <w:right w:w="108" w:type="dxa"/>
          </w:tblCellMar>
        </w:tblPrEx>
        <w:trPr>
          <w:trHeight w:val="285" w:hRule="atLeast"/>
        </w:trPr>
        <w:tc>
          <w:tcPr>
            <w:tcW w:w="713" w:type="dxa"/>
            <w:vAlign w:val="bottom"/>
          </w:tcPr>
          <w:p>
            <w:pPr>
              <w:widowControl/>
              <w:jc w:val="left"/>
              <w:rPr>
                <w:rFonts w:ascii="Arial" w:hAnsi="Arial" w:eastAsia="宋体" w:cs="Arial"/>
                <w:color w:val="000000"/>
                <w:kern w:val="0"/>
                <w:sz w:val="20"/>
                <w:szCs w:val="20"/>
              </w:rPr>
            </w:pPr>
          </w:p>
        </w:tc>
        <w:tc>
          <w:tcPr>
            <w:tcW w:w="1081" w:type="dxa"/>
            <w:vAlign w:val="bottom"/>
          </w:tcPr>
          <w:p>
            <w:pPr>
              <w:widowControl/>
              <w:jc w:val="left"/>
              <w:rPr>
                <w:rFonts w:ascii="Arial" w:hAnsi="Arial" w:eastAsia="宋体" w:cs="Arial"/>
                <w:color w:val="000000"/>
                <w:kern w:val="0"/>
                <w:sz w:val="20"/>
                <w:szCs w:val="20"/>
              </w:rPr>
            </w:pPr>
          </w:p>
        </w:tc>
        <w:tc>
          <w:tcPr>
            <w:tcW w:w="1083" w:type="dxa"/>
            <w:vAlign w:val="bottom"/>
          </w:tcPr>
          <w:p>
            <w:pPr>
              <w:widowControl/>
              <w:jc w:val="left"/>
              <w:rPr>
                <w:rFonts w:ascii="Arial" w:hAnsi="Arial" w:eastAsia="宋体" w:cs="Arial"/>
                <w:color w:val="000000"/>
                <w:kern w:val="0"/>
                <w:sz w:val="20"/>
                <w:szCs w:val="20"/>
              </w:rPr>
            </w:pPr>
          </w:p>
        </w:tc>
        <w:tc>
          <w:tcPr>
            <w:tcW w:w="5012" w:type="dxa"/>
            <w:vAlign w:val="bottom"/>
          </w:tcPr>
          <w:p>
            <w:pPr>
              <w:widowControl/>
              <w:jc w:val="left"/>
              <w:rPr>
                <w:rFonts w:ascii="Arial" w:hAnsi="Arial" w:eastAsia="宋体" w:cs="Arial"/>
                <w:color w:val="000000"/>
                <w:kern w:val="0"/>
                <w:sz w:val="20"/>
                <w:szCs w:val="20"/>
              </w:rPr>
            </w:pPr>
          </w:p>
        </w:tc>
        <w:tc>
          <w:tcPr>
            <w:tcW w:w="1407" w:type="dxa"/>
            <w:vAlign w:val="bottom"/>
          </w:tcPr>
          <w:p>
            <w:pPr>
              <w:widowControl/>
              <w:jc w:val="left"/>
              <w:rPr>
                <w:rFonts w:ascii="Arial" w:hAnsi="Arial" w:eastAsia="宋体" w:cs="Arial"/>
                <w:color w:val="000000"/>
                <w:kern w:val="0"/>
                <w:sz w:val="20"/>
                <w:szCs w:val="20"/>
              </w:rPr>
            </w:pPr>
          </w:p>
        </w:tc>
        <w:tc>
          <w:tcPr>
            <w:tcW w:w="1105" w:type="dxa"/>
            <w:vAlign w:val="bottom"/>
          </w:tcPr>
          <w:p>
            <w:pPr>
              <w:widowControl/>
              <w:jc w:val="left"/>
              <w:rPr>
                <w:rFonts w:ascii="Arial" w:hAnsi="Arial" w:eastAsia="宋体" w:cs="Arial"/>
                <w:color w:val="000000"/>
                <w:kern w:val="0"/>
                <w:sz w:val="20"/>
                <w:szCs w:val="20"/>
              </w:rPr>
            </w:pPr>
          </w:p>
        </w:tc>
        <w:tc>
          <w:tcPr>
            <w:tcW w:w="1105" w:type="dxa"/>
            <w:vAlign w:val="bottom"/>
          </w:tcPr>
          <w:p>
            <w:pPr>
              <w:widowControl/>
              <w:jc w:val="left"/>
              <w:rPr>
                <w:rFonts w:ascii="Arial" w:hAnsi="Arial" w:eastAsia="宋体" w:cs="Arial"/>
                <w:color w:val="000000"/>
                <w:kern w:val="0"/>
                <w:sz w:val="20"/>
                <w:szCs w:val="20"/>
              </w:rPr>
            </w:pPr>
          </w:p>
        </w:tc>
        <w:tc>
          <w:tcPr>
            <w:tcW w:w="3280" w:type="dxa"/>
            <w:gridSpan w:val="3"/>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财决批复03表</w:t>
            </w:r>
          </w:p>
        </w:tc>
      </w:tr>
      <w:tr>
        <w:tblPrEx>
          <w:tblLayout w:type="fixed"/>
          <w:tblCellMar>
            <w:top w:w="15" w:type="dxa"/>
            <w:left w:w="108" w:type="dxa"/>
            <w:bottom w:w="15" w:type="dxa"/>
            <w:right w:w="108" w:type="dxa"/>
          </w:tblCellMar>
        </w:tblPrEx>
        <w:trPr>
          <w:trHeight w:val="270" w:hRule="atLeast"/>
        </w:trPr>
        <w:tc>
          <w:tcPr>
            <w:tcW w:w="7889" w:type="dxa"/>
            <w:gridSpan w:val="4"/>
            <w:tcBorders>
              <w:bottom w:val="single" w:color="000000" w:sz="4" w:space="0"/>
            </w:tcBorders>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部门：枣庄市商务局（本级）</w:t>
            </w:r>
          </w:p>
        </w:tc>
        <w:tc>
          <w:tcPr>
            <w:tcW w:w="1407" w:type="dxa"/>
            <w:tcBorders>
              <w:bottom w:val="single" w:color="000000" w:sz="4" w:space="0"/>
            </w:tcBorders>
            <w:vAlign w:val="bottom"/>
          </w:tcPr>
          <w:p>
            <w:pPr>
              <w:widowControl/>
              <w:jc w:val="left"/>
              <w:rPr>
                <w:rFonts w:ascii="Arial" w:hAnsi="Arial" w:eastAsia="宋体" w:cs="Arial"/>
                <w:color w:val="000000"/>
                <w:kern w:val="0"/>
                <w:sz w:val="20"/>
                <w:szCs w:val="20"/>
              </w:rPr>
            </w:pPr>
          </w:p>
        </w:tc>
        <w:tc>
          <w:tcPr>
            <w:tcW w:w="1105" w:type="dxa"/>
            <w:tcBorders>
              <w:bottom w:val="single" w:color="000000" w:sz="4" w:space="0"/>
            </w:tcBorders>
            <w:vAlign w:val="bottom"/>
          </w:tcPr>
          <w:p>
            <w:pPr>
              <w:widowControl/>
              <w:jc w:val="left"/>
              <w:rPr>
                <w:rFonts w:ascii="Arial" w:hAnsi="Arial" w:eastAsia="宋体" w:cs="Arial"/>
                <w:color w:val="000000"/>
                <w:kern w:val="0"/>
                <w:sz w:val="20"/>
                <w:szCs w:val="20"/>
              </w:rPr>
            </w:pPr>
          </w:p>
        </w:tc>
        <w:tc>
          <w:tcPr>
            <w:tcW w:w="1105" w:type="dxa"/>
            <w:tcBorders>
              <w:bottom w:val="single" w:color="000000" w:sz="4" w:space="0"/>
            </w:tcBorders>
            <w:vAlign w:val="bottom"/>
          </w:tcPr>
          <w:p>
            <w:pPr>
              <w:widowControl/>
              <w:jc w:val="left"/>
              <w:rPr>
                <w:rFonts w:ascii="Arial" w:hAnsi="Arial" w:eastAsia="宋体" w:cs="Arial"/>
                <w:color w:val="000000"/>
                <w:kern w:val="0"/>
                <w:sz w:val="20"/>
                <w:szCs w:val="20"/>
              </w:rPr>
            </w:pPr>
          </w:p>
        </w:tc>
        <w:tc>
          <w:tcPr>
            <w:tcW w:w="3280" w:type="dxa"/>
            <w:gridSpan w:val="3"/>
            <w:tcBorders>
              <w:bottom w:val="single" w:color="000000" w:sz="4" w:space="0"/>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15" w:type="dxa"/>
            <w:left w:w="108" w:type="dxa"/>
            <w:bottom w:w="15" w:type="dxa"/>
            <w:right w:w="108" w:type="dxa"/>
          </w:tblCellMar>
        </w:tblPrEx>
        <w:trPr>
          <w:trHeight w:val="312" w:hRule="atLeast"/>
        </w:trPr>
        <w:tc>
          <w:tcPr>
            <w:tcW w:w="287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5012"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40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105"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105"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094"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109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09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Layout w:type="fixed"/>
          <w:tblCellMar>
            <w:top w:w="15" w:type="dxa"/>
            <w:left w:w="108" w:type="dxa"/>
            <w:bottom w:w="15" w:type="dxa"/>
            <w:right w:w="108" w:type="dxa"/>
          </w:tblCellMar>
        </w:tblPrEx>
        <w:trPr>
          <w:trHeight w:val="312" w:hRule="atLeast"/>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012"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07"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5"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5"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4"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12" w:hRule="atLeast"/>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012"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07"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5"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5"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4"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12" w:hRule="atLeast"/>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012"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07"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5"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5"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4"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00" w:hRule="atLeast"/>
        </w:trPr>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1081"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108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501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407"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0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105"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094"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9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09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Layout w:type="fixed"/>
          <w:tblCellMar>
            <w:top w:w="15" w:type="dxa"/>
            <w:left w:w="108" w:type="dxa"/>
            <w:bottom w:w="15" w:type="dxa"/>
            <w:right w:w="108" w:type="dxa"/>
          </w:tblCellMar>
        </w:tblPrEx>
        <w:trPr>
          <w:trHeight w:val="300" w:hRule="atLeast"/>
        </w:trPr>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81"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8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01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40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1,139.50</w:t>
            </w:r>
          </w:p>
        </w:tc>
        <w:tc>
          <w:tcPr>
            <w:tcW w:w="1105"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925.96</w:t>
            </w:r>
          </w:p>
        </w:tc>
        <w:tc>
          <w:tcPr>
            <w:tcW w:w="1105"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213.53</w:t>
            </w:r>
          </w:p>
        </w:tc>
        <w:tc>
          <w:tcPr>
            <w:tcW w:w="109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093"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093"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887.66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844.71</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42.95</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商贸事务</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887.66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844.71</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42.95</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2011301</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844.71</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844.71</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2011302</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9.15</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9.15</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2011307</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国内贸易管理</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2011308</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招商引资</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20508</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进修及培训</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2050803</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2080801</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死亡抚恤</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12.19</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12.19</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2080899</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交通运输支出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21406</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车辆购置税支出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2140603</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车辆购置税用于老旧汽车报废更新补贴</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商业服务业等支出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20.63</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20.63</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21602</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商业流通事务</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15.63</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15.63</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2160299</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其他商业流通事务支出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15.63</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15.63</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21606</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涉外发展服务支出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2160699</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其他涉外发展服务支出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287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5012"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407"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105"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14786" w:type="dxa"/>
            <w:gridSpan w:val="10"/>
            <w:tcBorders>
              <w:top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注：1.本表依据《支出决算表》（财决04表）进行批复。</w:t>
            </w:r>
          </w:p>
        </w:tc>
      </w:tr>
      <w:tr>
        <w:tblPrEx>
          <w:tblLayout w:type="fixed"/>
          <w:tblCellMar>
            <w:top w:w="15" w:type="dxa"/>
            <w:left w:w="108" w:type="dxa"/>
            <w:bottom w:w="15" w:type="dxa"/>
            <w:right w:w="108" w:type="dxa"/>
          </w:tblCellMar>
        </w:tblPrEx>
        <w:trPr>
          <w:trHeight w:val="300" w:hRule="atLeast"/>
        </w:trPr>
        <w:tc>
          <w:tcPr>
            <w:tcW w:w="14786" w:type="dxa"/>
            <w:gridSpan w:val="1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2.本表含政府性基金预算财政拨款。</w:t>
            </w:r>
          </w:p>
        </w:tc>
      </w:tr>
      <w:tr>
        <w:tblPrEx>
          <w:tblLayout w:type="fixed"/>
          <w:tblCellMar>
            <w:top w:w="15" w:type="dxa"/>
            <w:left w:w="108" w:type="dxa"/>
            <w:bottom w:w="15" w:type="dxa"/>
            <w:right w:w="108" w:type="dxa"/>
          </w:tblCellMar>
        </w:tblPrEx>
        <w:trPr>
          <w:trHeight w:val="300" w:hRule="atLeast"/>
        </w:trPr>
        <w:tc>
          <w:tcPr>
            <w:tcW w:w="14786" w:type="dxa"/>
            <w:gridSpan w:val="1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3.本表批复到项级科目。</w:t>
            </w:r>
          </w:p>
        </w:tc>
      </w:tr>
      <w:tr>
        <w:tblPrEx>
          <w:tblLayout w:type="fixed"/>
          <w:tblCellMar>
            <w:top w:w="15" w:type="dxa"/>
            <w:left w:w="108" w:type="dxa"/>
            <w:bottom w:w="15" w:type="dxa"/>
            <w:right w:w="108" w:type="dxa"/>
          </w:tblCellMar>
        </w:tblPrEx>
        <w:trPr>
          <w:trHeight w:val="300" w:hRule="atLeast"/>
        </w:trPr>
        <w:tc>
          <w:tcPr>
            <w:tcW w:w="14786" w:type="dxa"/>
            <w:gridSpan w:val="1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4.本表以“万元”为金额单位（保留两位小数）。</w:t>
            </w:r>
          </w:p>
        </w:tc>
      </w:tr>
    </w:tbl>
    <w:p>
      <w:pPr>
        <w:widowControl/>
        <w:jc w:val="left"/>
        <w:rPr>
          <w:rFonts w:ascii="黑体" w:hAnsi="黑体" w:eastAsia="黑体" w:cs="Times New Roman"/>
          <w:color w:val="000000"/>
          <w:kern w:val="0"/>
          <w:sz w:val="52"/>
          <w:szCs w:val="52"/>
        </w:rPr>
      </w:pPr>
    </w:p>
    <w:p>
      <w:pPr>
        <w:widowControl/>
        <w:jc w:val="left"/>
        <w:rPr>
          <w:rFonts w:ascii="黑体" w:hAnsi="黑体" w:eastAsia="黑体" w:cs="Times New Roman"/>
          <w:color w:val="000000"/>
          <w:kern w:val="0"/>
          <w:sz w:val="52"/>
          <w:szCs w:val="52"/>
        </w:rPr>
      </w:pPr>
      <w:r>
        <w:rPr>
          <w:rFonts w:ascii="黑体" w:hAnsi="黑体" w:eastAsia="黑体" w:cs="Times New Roman"/>
          <w:color w:val="000000"/>
          <w:kern w:val="0"/>
          <w:sz w:val="52"/>
          <w:szCs w:val="52"/>
        </w:rPr>
        <w:br w:type="page"/>
      </w:r>
    </w:p>
    <w:tbl>
      <w:tblPr>
        <w:tblStyle w:val="5"/>
        <w:tblW w:w="14786" w:type="dxa"/>
        <w:tblInd w:w="0" w:type="dxa"/>
        <w:tblLayout w:type="fixed"/>
        <w:tblCellMar>
          <w:top w:w="15" w:type="dxa"/>
          <w:left w:w="108" w:type="dxa"/>
          <w:bottom w:w="15" w:type="dxa"/>
          <w:right w:w="108" w:type="dxa"/>
        </w:tblCellMar>
      </w:tblPr>
      <w:tblGrid>
        <w:gridCol w:w="2686"/>
        <w:gridCol w:w="522"/>
        <w:gridCol w:w="150"/>
        <w:gridCol w:w="796"/>
        <w:gridCol w:w="1908"/>
        <w:gridCol w:w="2687"/>
        <w:gridCol w:w="522"/>
        <w:gridCol w:w="1597"/>
        <w:gridCol w:w="1231"/>
        <w:gridCol w:w="2687"/>
      </w:tblGrid>
      <w:tr>
        <w:tblPrEx>
          <w:tblLayout w:type="fixed"/>
          <w:tblCellMar>
            <w:top w:w="15" w:type="dxa"/>
            <w:left w:w="108" w:type="dxa"/>
            <w:bottom w:w="15" w:type="dxa"/>
            <w:right w:w="108" w:type="dxa"/>
          </w:tblCellMar>
        </w:tblPrEx>
        <w:trPr>
          <w:trHeight w:val="390" w:hRule="atLeast"/>
        </w:trPr>
        <w:tc>
          <w:tcPr>
            <w:tcW w:w="14786" w:type="dxa"/>
            <w:gridSpan w:val="10"/>
            <w:vAlign w:val="bottom"/>
          </w:tcPr>
          <w:p>
            <w:pPr>
              <w:widowControl/>
              <w:jc w:val="center"/>
              <w:rPr>
                <w:rFonts w:ascii="Arial" w:hAnsi="Arial" w:eastAsia="宋体" w:cs="Arial"/>
                <w:color w:val="000000"/>
                <w:kern w:val="0"/>
                <w:sz w:val="20"/>
                <w:szCs w:val="20"/>
              </w:rPr>
            </w:pPr>
            <w:r>
              <w:rPr>
                <w:rFonts w:hint="eastAsia" w:ascii="宋体" w:hAnsi="宋体" w:eastAsia="宋体" w:cs="Arial"/>
                <w:color w:val="000000"/>
                <w:kern w:val="0"/>
                <w:sz w:val="44"/>
                <w:szCs w:val="44"/>
              </w:rPr>
              <w:t>财政拨款收入支出决算批复表</w:t>
            </w:r>
          </w:p>
        </w:tc>
      </w:tr>
      <w:tr>
        <w:tblPrEx>
          <w:tblLayout w:type="fixed"/>
          <w:tblCellMar>
            <w:top w:w="15" w:type="dxa"/>
            <w:left w:w="108" w:type="dxa"/>
            <w:bottom w:w="15" w:type="dxa"/>
            <w:right w:w="108" w:type="dxa"/>
          </w:tblCellMar>
        </w:tblPrEx>
        <w:trPr>
          <w:trHeight w:val="285" w:hRule="atLeast"/>
        </w:trPr>
        <w:tc>
          <w:tcPr>
            <w:tcW w:w="2686" w:type="dxa"/>
            <w:vAlign w:val="bottom"/>
          </w:tcPr>
          <w:p>
            <w:pPr>
              <w:widowControl/>
              <w:jc w:val="left"/>
              <w:rPr>
                <w:rFonts w:ascii="Arial" w:hAnsi="Arial" w:eastAsia="宋体" w:cs="Arial"/>
                <w:color w:val="000000"/>
                <w:kern w:val="0"/>
                <w:sz w:val="20"/>
                <w:szCs w:val="20"/>
              </w:rPr>
            </w:pPr>
          </w:p>
        </w:tc>
        <w:tc>
          <w:tcPr>
            <w:tcW w:w="522" w:type="dxa"/>
            <w:vAlign w:val="bottom"/>
          </w:tcPr>
          <w:p>
            <w:pPr>
              <w:widowControl/>
              <w:jc w:val="left"/>
              <w:rPr>
                <w:rFonts w:ascii="Arial" w:hAnsi="Arial" w:eastAsia="宋体" w:cs="Arial"/>
                <w:color w:val="000000"/>
                <w:kern w:val="0"/>
                <w:sz w:val="20"/>
                <w:szCs w:val="20"/>
              </w:rPr>
            </w:pPr>
          </w:p>
        </w:tc>
        <w:tc>
          <w:tcPr>
            <w:tcW w:w="2854" w:type="dxa"/>
            <w:gridSpan w:val="3"/>
            <w:vAlign w:val="bottom"/>
          </w:tcPr>
          <w:p>
            <w:pPr>
              <w:widowControl/>
              <w:jc w:val="left"/>
              <w:rPr>
                <w:rFonts w:ascii="Arial" w:hAnsi="Arial" w:eastAsia="宋体" w:cs="Arial"/>
                <w:color w:val="000000"/>
                <w:kern w:val="0"/>
                <w:sz w:val="20"/>
                <w:szCs w:val="20"/>
              </w:rPr>
            </w:pPr>
          </w:p>
        </w:tc>
        <w:tc>
          <w:tcPr>
            <w:tcW w:w="2687" w:type="dxa"/>
            <w:vAlign w:val="bottom"/>
          </w:tcPr>
          <w:p>
            <w:pPr>
              <w:widowControl/>
              <w:jc w:val="left"/>
              <w:rPr>
                <w:rFonts w:ascii="Arial" w:hAnsi="Arial" w:eastAsia="宋体" w:cs="Arial"/>
                <w:color w:val="000000"/>
                <w:kern w:val="0"/>
                <w:sz w:val="20"/>
                <w:szCs w:val="20"/>
              </w:rPr>
            </w:pPr>
          </w:p>
        </w:tc>
        <w:tc>
          <w:tcPr>
            <w:tcW w:w="522" w:type="dxa"/>
            <w:vAlign w:val="bottom"/>
          </w:tcPr>
          <w:p>
            <w:pPr>
              <w:widowControl/>
              <w:jc w:val="left"/>
              <w:rPr>
                <w:rFonts w:ascii="Arial" w:hAnsi="Arial" w:eastAsia="宋体" w:cs="Arial"/>
                <w:color w:val="000000"/>
                <w:kern w:val="0"/>
                <w:sz w:val="20"/>
                <w:szCs w:val="20"/>
              </w:rPr>
            </w:pPr>
          </w:p>
        </w:tc>
        <w:tc>
          <w:tcPr>
            <w:tcW w:w="5515" w:type="dxa"/>
            <w:gridSpan w:val="3"/>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财决批复04表</w:t>
            </w:r>
          </w:p>
        </w:tc>
      </w:tr>
      <w:tr>
        <w:tblPrEx>
          <w:tblLayout w:type="fixed"/>
          <w:tblCellMar>
            <w:top w:w="15" w:type="dxa"/>
            <w:left w:w="108" w:type="dxa"/>
            <w:bottom w:w="15" w:type="dxa"/>
            <w:right w:w="108" w:type="dxa"/>
          </w:tblCellMar>
        </w:tblPrEx>
        <w:trPr>
          <w:trHeight w:val="270" w:hRule="atLeast"/>
        </w:trPr>
        <w:tc>
          <w:tcPr>
            <w:tcW w:w="6062" w:type="dxa"/>
            <w:gridSpan w:val="5"/>
            <w:tcBorders>
              <w:bottom w:val="single" w:color="000000" w:sz="4" w:space="0"/>
            </w:tcBorders>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部门：枣庄市商务局（本级）</w:t>
            </w:r>
          </w:p>
        </w:tc>
        <w:tc>
          <w:tcPr>
            <w:tcW w:w="2687" w:type="dxa"/>
            <w:tcBorders>
              <w:bottom w:val="single" w:color="000000" w:sz="4" w:space="0"/>
            </w:tcBorders>
            <w:vAlign w:val="bottom"/>
          </w:tcPr>
          <w:p>
            <w:pPr>
              <w:widowControl/>
              <w:jc w:val="left"/>
              <w:rPr>
                <w:rFonts w:ascii="Arial" w:hAnsi="Arial" w:eastAsia="宋体" w:cs="Arial"/>
                <w:color w:val="000000"/>
                <w:kern w:val="0"/>
                <w:sz w:val="20"/>
                <w:szCs w:val="20"/>
              </w:rPr>
            </w:pPr>
          </w:p>
        </w:tc>
        <w:tc>
          <w:tcPr>
            <w:tcW w:w="522" w:type="dxa"/>
            <w:tcBorders>
              <w:bottom w:val="single" w:color="000000" w:sz="4" w:space="0"/>
            </w:tcBorders>
            <w:vAlign w:val="bottom"/>
          </w:tcPr>
          <w:p>
            <w:pPr>
              <w:widowControl/>
              <w:jc w:val="left"/>
              <w:rPr>
                <w:rFonts w:ascii="Arial" w:hAnsi="Arial" w:eastAsia="宋体" w:cs="Arial"/>
                <w:color w:val="000000"/>
                <w:kern w:val="0"/>
                <w:sz w:val="20"/>
                <w:szCs w:val="20"/>
              </w:rPr>
            </w:pPr>
          </w:p>
        </w:tc>
        <w:tc>
          <w:tcPr>
            <w:tcW w:w="5515" w:type="dxa"/>
            <w:gridSpan w:val="3"/>
            <w:tcBorders>
              <w:bottom w:val="single" w:color="000000" w:sz="4" w:space="0"/>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15" w:type="dxa"/>
            <w:left w:w="108" w:type="dxa"/>
            <w:bottom w:w="15" w:type="dxa"/>
            <w:right w:w="108" w:type="dxa"/>
          </w:tblCellMar>
        </w:tblPrEx>
        <w:trPr>
          <w:trHeight w:val="300" w:hRule="atLeast"/>
        </w:trPr>
        <w:tc>
          <w:tcPr>
            <w:tcW w:w="60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8724" w:type="dxa"/>
            <w:gridSpan w:val="5"/>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Layout w:type="fixed"/>
          <w:tblCellMar>
            <w:top w:w="15" w:type="dxa"/>
            <w:left w:w="108" w:type="dxa"/>
            <w:bottom w:w="15" w:type="dxa"/>
            <w:right w:w="108" w:type="dxa"/>
          </w:tblCellMar>
        </w:tblPrEx>
        <w:trPr>
          <w:trHeight w:val="312" w:hRule="atLeast"/>
        </w:trPr>
        <w:tc>
          <w:tcPr>
            <w:tcW w:w="335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796"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908"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268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22"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59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231"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268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r>
      <w:tr>
        <w:tblPrEx>
          <w:tblLayout w:type="fixed"/>
          <w:tblCellMar>
            <w:top w:w="15" w:type="dxa"/>
            <w:left w:w="108" w:type="dxa"/>
            <w:bottom w:w="15" w:type="dxa"/>
            <w:right w:w="108" w:type="dxa"/>
          </w:tblCellMar>
        </w:tblPrEx>
        <w:trPr>
          <w:trHeight w:val="615" w:hRule="atLeast"/>
        </w:trPr>
        <w:tc>
          <w:tcPr>
            <w:tcW w:w="3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908"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687"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22"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597"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31"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687"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1,323.54</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887.66</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887.66</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七、文化体育与传媒支出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九、医疗卫生与计划生育支出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十四、资源勘探信息等支出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20.63</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20.63</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十八、国土海洋气象等支出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二十一、其他支出</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1,323.54</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1,139.50</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1,139.50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220.11</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220.11</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一般公共预算财政拨款</w:t>
            </w: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政府性基金预算财政拨款</w:t>
            </w: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00" w:hRule="atLeast"/>
        </w:trPr>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1908"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1,359.61</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2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15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1,359.61</w:t>
            </w:r>
          </w:p>
        </w:tc>
        <w:tc>
          <w:tcPr>
            <w:tcW w:w="12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1,359.61</w:t>
            </w:r>
          </w:p>
        </w:tc>
        <w:tc>
          <w:tcPr>
            <w:tcW w:w="268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14786" w:type="dxa"/>
            <w:gridSpan w:val="10"/>
            <w:tcBorders>
              <w:top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注：1.本表依据《财政拨款收入支出决算总表》（财决01-1表）进行批复。</w:t>
            </w:r>
          </w:p>
        </w:tc>
      </w:tr>
      <w:tr>
        <w:tblPrEx>
          <w:tblLayout w:type="fixed"/>
          <w:tblCellMar>
            <w:top w:w="15" w:type="dxa"/>
            <w:left w:w="108" w:type="dxa"/>
            <w:bottom w:w="15" w:type="dxa"/>
            <w:right w:w="108" w:type="dxa"/>
          </w:tblCellMar>
        </w:tblPrEx>
        <w:trPr>
          <w:trHeight w:val="300" w:hRule="atLeast"/>
        </w:trPr>
        <w:tc>
          <w:tcPr>
            <w:tcW w:w="14786" w:type="dxa"/>
            <w:gridSpan w:val="1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2.本表以“万元”为金额单位（保留两位小数）。</w:t>
            </w:r>
          </w:p>
        </w:tc>
      </w:tr>
    </w:tbl>
    <w:p>
      <w:pPr>
        <w:widowControl/>
        <w:shd w:val="clear" w:color="auto" w:fill="FFFFFF"/>
        <w:rPr>
          <w:rFonts w:hint="eastAsia" w:ascii="黑体" w:hAnsi="黑体" w:eastAsia="黑体" w:cs="Times New Roman"/>
          <w:color w:val="000000"/>
          <w:kern w:val="0"/>
          <w:sz w:val="52"/>
          <w:szCs w:val="52"/>
        </w:rPr>
      </w:pPr>
    </w:p>
    <w:p>
      <w:pPr>
        <w:widowControl/>
        <w:shd w:val="clear" w:color="auto" w:fill="FFFFFF"/>
        <w:rPr>
          <w:rFonts w:hint="eastAsia" w:ascii="黑体" w:hAnsi="黑体" w:eastAsia="黑体" w:cs="Times New Roman"/>
          <w:color w:val="000000"/>
          <w:kern w:val="0"/>
          <w:sz w:val="52"/>
          <w:szCs w:val="52"/>
        </w:rPr>
      </w:pPr>
    </w:p>
    <w:p>
      <w:pPr>
        <w:widowControl/>
        <w:shd w:val="clear" w:color="auto" w:fill="FFFFFF"/>
        <w:rPr>
          <w:rFonts w:ascii="黑体" w:hAnsi="黑体" w:eastAsia="黑体" w:cs="Times New Roman"/>
          <w:color w:val="000000"/>
          <w:kern w:val="0"/>
          <w:sz w:val="52"/>
          <w:szCs w:val="52"/>
        </w:rPr>
        <w:sectPr>
          <w:pgSz w:w="16838" w:h="11906" w:orient="landscape"/>
          <w:pgMar w:top="1134" w:right="1134" w:bottom="1134" w:left="1134" w:header="851" w:footer="992" w:gutter="0"/>
          <w:cols w:space="425" w:num="1"/>
          <w:docGrid w:type="linesAndChars" w:linePitch="312" w:charSpace="0"/>
        </w:sectPr>
      </w:pPr>
    </w:p>
    <w:tbl>
      <w:tblPr>
        <w:tblStyle w:val="5"/>
        <w:tblW w:w="14550" w:type="dxa"/>
        <w:tblInd w:w="93" w:type="dxa"/>
        <w:tblLayout w:type="fixed"/>
        <w:tblCellMar>
          <w:top w:w="15" w:type="dxa"/>
          <w:left w:w="108" w:type="dxa"/>
          <w:bottom w:w="15" w:type="dxa"/>
          <w:right w:w="108" w:type="dxa"/>
        </w:tblCellMar>
      </w:tblPr>
      <w:tblGrid>
        <w:gridCol w:w="986"/>
        <w:gridCol w:w="1796"/>
        <w:gridCol w:w="953"/>
        <w:gridCol w:w="710"/>
        <w:gridCol w:w="953"/>
        <w:gridCol w:w="1103"/>
        <w:gridCol w:w="1031"/>
        <w:gridCol w:w="934"/>
        <w:gridCol w:w="1103"/>
        <w:gridCol w:w="983"/>
        <w:gridCol w:w="914"/>
        <w:gridCol w:w="882"/>
        <w:gridCol w:w="660"/>
        <w:gridCol w:w="660"/>
        <w:gridCol w:w="882"/>
      </w:tblGrid>
      <w:tr>
        <w:tblPrEx>
          <w:tblLayout w:type="fixed"/>
          <w:tblCellMar>
            <w:top w:w="15" w:type="dxa"/>
            <w:left w:w="108" w:type="dxa"/>
            <w:bottom w:w="15" w:type="dxa"/>
            <w:right w:w="108" w:type="dxa"/>
          </w:tblCellMar>
        </w:tblPrEx>
        <w:trPr>
          <w:trHeight w:val="405" w:hRule="atLeast"/>
        </w:trPr>
        <w:tc>
          <w:tcPr>
            <w:tcW w:w="14550" w:type="dxa"/>
            <w:gridSpan w:val="15"/>
            <w:tcBorders>
              <w:bottom w:val="single" w:color="000000" w:sz="4" w:space="0"/>
            </w:tcBorders>
            <w:vAlign w:val="bottom"/>
          </w:tcPr>
          <w:p>
            <w:pPr>
              <w:widowControl/>
              <w:jc w:val="center"/>
              <w:rPr>
                <w:rFonts w:ascii="Arial" w:hAnsi="Arial" w:eastAsia="宋体" w:cs="Arial"/>
                <w:color w:val="000000"/>
                <w:kern w:val="0"/>
                <w:sz w:val="44"/>
                <w:szCs w:val="44"/>
              </w:rPr>
            </w:pPr>
            <w:r>
              <w:rPr>
                <w:rFonts w:hint="eastAsia" w:ascii="宋体" w:hAnsi="宋体" w:eastAsia="宋体" w:cs="Arial"/>
                <w:color w:val="000000"/>
                <w:kern w:val="0"/>
                <w:sz w:val="44"/>
                <w:szCs w:val="44"/>
              </w:rPr>
              <w:t>一般公共预算财政拨款收入支出决算批复表</w:t>
            </w:r>
          </w:p>
        </w:tc>
      </w:tr>
      <w:tr>
        <w:tblPrEx>
          <w:tblLayout w:type="fixed"/>
          <w:tblCellMar>
            <w:top w:w="15" w:type="dxa"/>
            <w:left w:w="108" w:type="dxa"/>
            <w:bottom w:w="15" w:type="dxa"/>
            <w:right w:w="108" w:type="dxa"/>
          </w:tblCellMar>
        </w:tblPrEx>
        <w:trPr>
          <w:trHeight w:val="300" w:hRule="atLeast"/>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1796"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2616" w:type="dxa"/>
            <w:gridSpan w:val="3"/>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3068" w:type="dxa"/>
            <w:gridSpan w:val="3"/>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w:t>
            </w:r>
          </w:p>
        </w:tc>
        <w:tc>
          <w:tcPr>
            <w:tcW w:w="3000" w:type="dxa"/>
            <w:gridSpan w:val="3"/>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c>
          <w:tcPr>
            <w:tcW w:w="3084" w:type="dxa"/>
            <w:gridSpan w:val="4"/>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Layout w:type="fixed"/>
          <w:tblCellMar>
            <w:top w:w="15" w:type="dxa"/>
            <w:left w:w="108" w:type="dxa"/>
            <w:bottom w:w="15" w:type="dxa"/>
            <w:right w:w="108" w:type="dxa"/>
          </w:tblCellMar>
        </w:tblPrEx>
        <w:trPr>
          <w:trHeight w:val="30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796"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5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710"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基本支出结转</w:t>
            </w:r>
          </w:p>
        </w:tc>
        <w:tc>
          <w:tcPr>
            <w:tcW w:w="95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项目支出结转和结余</w:t>
            </w:r>
          </w:p>
        </w:tc>
        <w:tc>
          <w:tcPr>
            <w:tcW w:w="110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31"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934"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10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83"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914"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882"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660"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基本支出结转</w:t>
            </w:r>
          </w:p>
        </w:tc>
        <w:tc>
          <w:tcPr>
            <w:tcW w:w="1542" w:type="dxa"/>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项目支出结转和结余</w:t>
            </w:r>
          </w:p>
        </w:tc>
      </w:tr>
      <w:tr>
        <w:tblPrEx>
          <w:tblLayout w:type="fixed"/>
          <w:tblCellMar>
            <w:top w:w="15" w:type="dxa"/>
            <w:left w:w="108" w:type="dxa"/>
            <w:bottom w:w="15" w:type="dxa"/>
            <w:right w:w="108" w:type="dxa"/>
          </w:tblCellMar>
        </w:tblPrEx>
        <w:trPr>
          <w:trHeight w:val="195"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796"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5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10"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5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31"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4"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83"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14"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82"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60" w:type="dxa"/>
            <w:vMerge w:val="continue"/>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60" w:type="dxa"/>
            <w:tcBorders>
              <w:top w:val="single" w:color="000000" w:sz="4" w:space="0"/>
              <w:bottom w:val="single" w:color="000000" w:sz="4" w:space="0"/>
              <w:right w:val="single" w:color="000000" w:sz="4" w:space="0"/>
            </w:tcBorders>
            <w:shd w:val="clear" w:color="auto" w:fill="auto"/>
            <w:vAlign w:val="center"/>
          </w:tcPr>
          <w:p>
            <w:pPr>
              <w:widowControl/>
              <w:spacing w:line="195" w:lineRule="atLeast"/>
              <w:jc w:val="center"/>
              <w:rPr>
                <w:rFonts w:ascii="宋体" w:hAnsi="宋体" w:eastAsia="宋体" w:cs="Arial"/>
                <w:color w:val="000000"/>
                <w:kern w:val="0"/>
                <w:sz w:val="22"/>
              </w:rPr>
            </w:pPr>
            <w:r>
              <w:rPr>
                <w:rFonts w:hint="eastAsia" w:ascii="宋体" w:hAnsi="宋体" w:eastAsia="宋体" w:cs="Arial"/>
                <w:color w:val="000000"/>
                <w:kern w:val="0"/>
                <w:sz w:val="22"/>
              </w:rPr>
              <w:t>项目支出结转</w:t>
            </w:r>
          </w:p>
        </w:tc>
        <w:tc>
          <w:tcPr>
            <w:tcW w:w="882" w:type="dxa"/>
            <w:tcBorders>
              <w:top w:val="single" w:color="000000" w:sz="4" w:space="0"/>
              <w:bottom w:val="single" w:color="000000" w:sz="4" w:space="0"/>
              <w:right w:val="single" w:color="000000" w:sz="4" w:space="0"/>
            </w:tcBorders>
            <w:shd w:val="clear" w:color="auto" w:fill="auto"/>
            <w:vAlign w:val="center"/>
          </w:tcPr>
          <w:p>
            <w:pPr>
              <w:widowControl/>
              <w:spacing w:line="195" w:lineRule="atLeast"/>
              <w:jc w:val="center"/>
              <w:rPr>
                <w:rFonts w:ascii="宋体" w:hAnsi="宋体" w:eastAsia="宋体" w:cs="Arial"/>
                <w:color w:val="000000"/>
                <w:kern w:val="0"/>
                <w:sz w:val="22"/>
              </w:rPr>
            </w:pPr>
            <w:r>
              <w:rPr>
                <w:rFonts w:hint="eastAsia" w:ascii="宋体" w:hAnsi="宋体" w:eastAsia="宋体" w:cs="Arial"/>
                <w:color w:val="000000"/>
                <w:kern w:val="0"/>
                <w:sz w:val="22"/>
              </w:rPr>
              <w:t>项目支出结余</w:t>
            </w:r>
          </w:p>
        </w:tc>
      </w:tr>
      <w:tr>
        <w:tblPrEx>
          <w:tblLayout w:type="fixed"/>
          <w:tblCellMar>
            <w:top w:w="15" w:type="dxa"/>
            <w:left w:w="108" w:type="dxa"/>
            <w:bottom w:w="15" w:type="dxa"/>
            <w:right w:w="108" w:type="dxa"/>
          </w:tblCellMar>
        </w:tblPrEx>
        <w:trPr>
          <w:trHeight w:val="300" w:hRule="atLeast"/>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1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95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710"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5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10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31"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934"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10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983"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914"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88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660"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660"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882"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r>
      <w:tr>
        <w:tblPrEx>
          <w:tblLayout w:type="fixed"/>
          <w:tblCellMar>
            <w:top w:w="15" w:type="dxa"/>
            <w:left w:w="108" w:type="dxa"/>
            <w:bottom w:w="15" w:type="dxa"/>
            <w:right w:w="108" w:type="dxa"/>
          </w:tblCellMar>
        </w:tblPrEx>
        <w:trPr>
          <w:trHeight w:val="30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796" w:type="dxa"/>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53"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36.07</w:t>
            </w:r>
          </w:p>
        </w:tc>
        <w:tc>
          <w:tcPr>
            <w:tcW w:w="71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7.27</w:t>
            </w:r>
          </w:p>
        </w:tc>
        <w:tc>
          <w:tcPr>
            <w:tcW w:w="953"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28.80</w:t>
            </w:r>
          </w:p>
        </w:tc>
        <w:tc>
          <w:tcPr>
            <w:tcW w:w="1103"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1,323.54</w:t>
            </w:r>
          </w:p>
        </w:tc>
        <w:tc>
          <w:tcPr>
            <w:tcW w:w="1031"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918.69</w:t>
            </w:r>
          </w:p>
        </w:tc>
        <w:tc>
          <w:tcPr>
            <w:tcW w:w="93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404.85</w:t>
            </w:r>
          </w:p>
        </w:tc>
        <w:tc>
          <w:tcPr>
            <w:tcW w:w="1103"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1,139.50</w:t>
            </w:r>
          </w:p>
        </w:tc>
        <w:tc>
          <w:tcPr>
            <w:tcW w:w="983"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925.96</w:t>
            </w:r>
          </w:p>
        </w:tc>
        <w:tc>
          <w:tcPr>
            <w:tcW w:w="91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213.53</w:t>
            </w:r>
          </w:p>
        </w:tc>
        <w:tc>
          <w:tcPr>
            <w:tcW w:w="88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220.11</w:t>
            </w:r>
          </w:p>
        </w:tc>
        <w:tc>
          <w:tcPr>
            <w:tcW w:w="66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660"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882"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220.11</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7.27</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851.59</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837.45</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14.15</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887.66</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844.71</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42.95</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商贸事务</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7.27</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851.59</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837.45</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14.15</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887.66</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844.71</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42.95</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2011301</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7.27</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7.27</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837.45</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837.45</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844.71</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844.71</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2011302</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9.15</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9.15</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9.15</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9.15</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2011307</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国内贸易管理</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2011308</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招商引资</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20508</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进修及培训</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2050803</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13.69</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2080801</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死亡抚恤</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12.19</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12.19</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12.19</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12.19</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2080899</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交通运输支出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165.74</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165.74</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21406</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车辆购置税支出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165.74</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165.74</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2140603</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车辆购置税用于老旧汽车报废更新补贴</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149.96</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165.74</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165.74</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商业服务业等支出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20.63</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20.63</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54.37</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54.37</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21602</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商业流通事务</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70.00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15.63</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15.63</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54.37</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54.37</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2160299</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其他商业流通事务支出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70.00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15.63</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15.63</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54.37</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54.37</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21606</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涉外发展服务支出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2160699</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其他涉外发展服务支出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1796" w:type="dxa"/>
            <w:tcBorders>
              <w:top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1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5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1031"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3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8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60.06</w:t>
            </w:r>
          </w:p>
        </w:tc>
        <w:tc>
          <w:tcPr>
            <w:tcW w:w="914"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60"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82"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bl>
    <w:p>
      <w:pPr>
        <w:widowControl/>
        <w:shd w:val="clear" w:color="auto" w:fill="FFFFFF"/>
        <w:rPr>
          <w:rFonts w:ascii="黑体" w:hAnsi="黑体" w:eastAsia="黑体" w:cs="Times New Roman"/>
          <w:color w:val="000000"/>
          <w:kern w:val="0"/>
          <w:sz w:val="52"/>
          <w:szCs w:val="52"/>
        </w:rPr>
        <w:sectPr>
          <w:pgSz w:w="16838" w:h="11906" w:orient="landscape"/>
          <w:pgMar w:top="1134" w:right="1134" w:bottom="1134" w:left="1134" w:header="851" w:footer="992" w:gutter="0"/>
          <w:cols w:space="425" w:num="1"/>
          <w:docGrid w:type="linesAndChars" w:linePitch="312" w:charSpace="0"/>
        </w:sectPr>
      </w:pPr>
    </w:p>
    <w:tbl>
      <w:tblPr>
        <w:tblStyle w:val="5"/>
        <w:tblW w:w="14786" w:type="dxa"/>
        <w:tblInd w:w="0" w:type="dxa"/>
        <w:tblLayout w:type="fixed"/>
        <w:tblCellMar>
          <w:top w:w="15" w:type="dxa"/>
          <w:left w:w="108" w:type="dxa"/>
          <w:bottom w:w="15" w:type="dxa"/>
          <w:right w:w="108" w:type="dxa"/>
        </w:tblCellMar>
      </w:tblPr>
      <w:tblGrid>
        <w:gridCol w:w="873"/>
        <w:gridCol w:w="3451"/>
        <w:gridCol w:w="1224"/>
        <w:gridCol w:w="872"/>
        <w:gridCol w:w="2437"/>
        <w:gridCol w:w="997"/>
        <w:gridCol w:w="872"/>
        <w:gridCol w:w="2957"/>
        <w:gridCol w:w="1103"/>
      </w:tblGrid>
      <w:tr>
        <w:tblPrEx>
          <w:tblLayout w:type="fixed"/>
          <w:tblCellMar>
            <w:top w:w="15" w:type="dxa"/>
            <w:left w:w="108" w:type="dxa"/>
            <w:bottom w:w="15" w:type="dxa"/>
            <w:right w:w="108" w:type="dxa"/>
          </w:tblCellMar>
        </w:tblPrEx>
        <w:trPr>
          <w:trHeight w:val="390" w:hRule="atLeast"/>
        </w:trPr>
        <w:tc>
          <w:tcPr>
            <w:tcW w:w="14786" w:type="dxa"/>
            <w:gridSpan w:val="9"/>
            <w:tcBorders>
              <w:bottom w:val="single" w:color="000000" w:sz="4" w:space="0"/>
            </w:tcBorders>
            <w:vAlign w:val="bottom"/>
          </w:tcPr>
          <w:p>
            <w:pPr>
              <w:widowControl/>
              <w:jc w:val="center"/>
              <w:rPr>
                <w:rFonts w:ascii="Arial" w:hAnsi="Arial" w:eastAsia="宋体" w:cs="Arial"/>
                <w:color w:val="000000"/>
                <w:kern w:val="0"/>
                <w:sz w:val="44"/>
                <w:szCs w:val="44"/>
              </w:rPr>
            </w:pPr>
            <w:r>
              <w:rPr>
                <w:rFonts w:hint="eastAsia" w:ascii="宋体" w:hAnsi="宋体" w:eastAsia="宋体" w:cs="Arial"/>
                <w:color w:val="000000"/>
                <w:kern w:val="0"/>
                <w:sz w:val="44"/>
                <w:szCs w:val="44"/>
              </w:rPr>
              <w:t>一般公共预算财政拨款基本支出决算批复表</w:t>
            </w:r>
          </w:p>
        </w:tc>
      </w:tr>
      <w:tr>
        <w:tblPrEx>
          <w:tblLayout w:type="fixed"/>
          <w:tblCellMar>
            <w:top w:w="15" w:type="dxa"/>
            <w:left w:w="108" w:type="dxa"/>
            <w:bottom w:w="15" w:type="dxa"/>
            <w:right w:w="108" w:type="dxa"/>
          </w:tblCellMar>
        </w:tblPrEx>
        <w:trPr>
          <w:trHeight w:val="300" w:hRule="atLeast"/>
        </w:trPr>
        <w:tc>
          <w:tcPr>
            <w:tcW w:w="5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9238" w:type="dxa"/>
            <w:gridSpan w:val="6"/>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544.86</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187.50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其他资本性支出</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30101</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235.03</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30201</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5.46</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31001</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房屋建筑物购建</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30102</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230.86</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30202</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31002</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30103</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18.66</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30203</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咨询费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31003</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专用设备购置</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30104</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其他社会保障缴费</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60.31</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30204</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手续费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0.07</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31005</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基础设施建设</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30106</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伙食补助费</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30205</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31006</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大型修缮</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30107</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绩效工资</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30206</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3.25</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31007</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信息网络及软件购置更新</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30108</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30207</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31008</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物资储备</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18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spacing w:line="180" w:lineRule="atLeast"/>
              <w:jc w:val="left"/>
              <w:rPr>
                <w:rFonts w:ascii="宋体" w:hAnsi="宋体" w:eastAsia="宋体" w:cs="Arial"/>
                <w:color w:val="000000"/>
                <w:kern w:val="0"/>
                <w:sz w:val="22"/>
              </w:rPr>
            </w:pPr>
            <w:r>
              <w:rPr>
                <w:rFonts w:hint="eastAsia" w:ascii="宋体" w:hAnsi="宋体" w:eastAsia="宋体" w:cs="Arial"/>
                <w:color w:val="000000"/>
                <w:kern w:val="0"/>
                <w:sz w:val="22"/>
              </w:rPr>
              <w:t>30109</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spacing w:line="180" w:lineRule="atLeast"/>
              <w:jc w:val="left"/>
              <w:rPr>
                <w:rFonts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spacing w:line="180" w:lineRule="atLeast"/>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spacing w:line="180" w:lineRule="atLeast"/>
              <w:jc w:val="left"/>
              <w:rPr>
                <w:rFonts w:ascii="宋体" w:hAnsi="宋体" w:eastAsia="宋体" w:cs="Arial"/>
                <w:color w:val="000000"/>
                <w:kern w:val="0"/>
                <w:sz w:val="22"/>
              </w:rPr>
            </w:pPr>
            <w:r>
              <w:rPr>
                <w:rFonts w:hint="eastAsia" w:ascii="宋体" w:hAnsi="宋体" w:eastAsia="宋体" w:cs="Arial"/>
                <w:color w:val="000000"/>
                <w:kern w:val="0"/>
                <w:sz w:val="22"/>
              </w:rPr>
              <w:t>30208</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spacing w:line="180" w:lineRule="atLeast"/>
              <w:jc w:val="left"/>
              <w:rPr>
                <w:rFonts w:ascii="宋体" w:hAnsi="宋体" w:eastAsia="宋体" w:cs="Arial"/>
                <w:color w:val="000000"/>
                <w:kern w:val="0"/>
                <w:sz w:val="22"/>
              </w:rPr>
            </w:pPr>
            <w:r>
              <w:rPr>
                <w:rFonts w:hint="eastAsia" w:ascii="宋体" w:hAnsi="宋体" w:eastAsia="宋体" w:cs="Arial"/>
                <w:color w:val="000000"/>
                <w:kern w:val="0"/>
                <w:sz w:val="22"/>
              </w:rPr>
              <w:t xml:space="preserve">  取暖费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spacing w:line="180" w:lineRule="atLeast"/>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spacing w:line="180" w:lineRule="atLeast"/>
              <w:jc w:val="left"/>
              <w:rPr>
                <w:rFonts w:ascii="宋体" w:hAnsi="宋体" w:eastAsia="宋体" w:cs="Arial"/>
                <w:color w:val="000000"/>
                <w:kern w:val="0"/>
                <w:sz w:val="22"/>
              </w:rPr>
            </w:pPr>
            <w:r>
              <w:rPr>
                <w:rFonts w:hint="eastAsia" w:ascii="宋体" w:hAnsi="宋体" w:eastAsia="宋体" w:cs="Arial"/>
                <w:color w:val="000000"/>
                <w:kern w:val="0"/>
                <w:sz w:val="22"/>
              </w:rPr>
              <w:t>31009</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spacing w:line="180" w:lineRule="atLeast"/>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土地补偿</w:t>
            </w:r>
          </w:p>
        </w:tc>
        <w:tc>
          <w:tcPr>
            <w:tcW w:w="1103" w:type="dxa"/>
            <w:tcBorders>
              <w:top w:val="single" w:color="000000" w:sz="4" w:space="0"/>
              <w:bottom w:val="single" w:color="000000" w:sz="4" w:space="0"/>
              <w:right w:val="single" w:color="000000" w:sz="4" w:space="0"/>
            </w:tcBorders>
            <w:vAlign w:val="center"/>
          </w:tcPr>
          <w:p>
            <w:pPr>
              <w:widowControl/>
              <w:spacing w:line="180" w:lineRule="atLeast"/>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30199</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其他工资福利支出</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30209</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31010</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安置补助</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193.60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30211</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31011</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地上附着物和青苗补偿</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30301</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离休费</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30212</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因公出国（境）费用</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31012</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拆迁补偿</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30302</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30213</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31013</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公务用车购置</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30303</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退职（役）费</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30214</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租赁费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31019</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其他交通工具购置</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30304</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30215</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会议费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51.00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31020</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产权参股</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30305</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生活补助</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30216</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17.50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31099</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其他资本性支出</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30306</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救济费</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30217</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公务接待费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0.15</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对企事业单位的补贴</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3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30307</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30218</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30401</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企业政策性补贴</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30308</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助学金</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30224</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被装购置费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30402</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事业单位补贴</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30309</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奖励金</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30225</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专用燃料费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30403</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财政贴息</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30310</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生产补贴</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30226</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19.15</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30499</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其他对企事业单位的补贴</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30311</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61.76</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30227</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委托业务费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债务利息支出</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30312</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提租补贴</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30228</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11.61</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30701</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国内债务付息</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30313</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购房补贴</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79.87</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30229</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7.27</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30707</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国外债务付息</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30314</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采暖补贴</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24.07</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30231</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公务用车运行维护费</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30315</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物业服务补贴</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14.21</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30239</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17.24</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39906</w:t>
            </w: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赠与</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30399</w:t>
            </w: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其他对个人和家庭的补助支出</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12.19</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30240</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税金及附加费用</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00" w:hRule="atLeast"/>
        </w:trPr>
        <w:tc>
          <w:tcPr>
            <w:tcW w:w="873"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3451"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30299</w:t>
            </w:r>
          </w:p>
        </w:tc>
        <w:tc>
          <w:tcPr>
            <w:tcW w:w="243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其他商品和服务支出</w:t>
            </w:r>
          </w:p>
        </w:tc>
        <w:tc>
          <w:tcPr>
            <w:tcW w:w="997"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72"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957" w:type="dxa"/>
            <w:tcBorders>
              <w:top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p>
        </w:tc>
      </w:tr>
      <w:tr>
        <w:tblPrEx>
          <w:tblLayout w:type="fixed"/>
          <w:tblCellMar>
            <w:top w:w="15" w:type="dxa"/>
            <w:left w:w="108" w:type="dxa"/>
            <w:bottom w:w="15" w:type="dxa"/>
            <w:right w:w="108" w:type="dxa"/>
          </w:tblCellMar>
        </w:tblPrEx>
        <w:trPr>
          <w:trHeight w:val="300" w:hRule="atLeast"/>
        </w:trPr>
        <w:tc>
          <w:tcPr>
            <w:tcW w:w="4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1224" w:type="dxa"/>
            <w:tcBorders>
              <w:top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738.46</w:t>
            </w:r>
          </w:p>
        </w:tc>
        <w:tc>
          <w:tcPr>
            <w:tcW w:w="8135" w:type="dxa"/>
            <w:gridSpan w:val="5"/>
            <w:tcBorders>
              <w:top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1103" w:type="dxa"/>
            <w:tcBorders>
              <w:top w:val="single" w:color="000000" w:sz="4" w:space="0"/>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187.50</w:t>
            </w:r>
          </w:p>
        </w:tc>
      </w:tr>
    </w:tbl>
    <w:p>
      <w:pPr>
        <w:jc w:val="center"/>
        <w:rPr>
          <w:rFonts w:ascii="仿宋_GB2312" w:hAnsi="宋体" w:cs="宋体"/>
          <w:b/>
          <w:bCs/>
          <w:kern w:val="0"/>
          <w:sz w:val="30"/>
          <w:szCs w:val="30"/>
        </w:rPr>
      </w:pPr>
      <w:r>
        <w:rPr>
          <w:rFonts w:ascii="仿宋_GB2312" w:hAnsi="仿宋_GB2312" w:cs="宋体"/>
          <w:b/>
          <w:bCs/>
          <w:kern w:val="0"/>
          <w:sz w:val="30"/>
          <w:szCs w:val="30"/>
        </w:rPr>
        <w:t>一般公共预算财政拨款</w:t>
      </w:r>
      <w:r>
        <w:rPr>
          <w:rFonts w:ascii="仿宋_GB2312" w:hAnsi="宋体" w:cs="宋体"/>
          <w:b/>
          <w:bCs/>
          <w:kern w:val="0"/>
          <w:sz w:val="30"/>
          <w:szCs w:val="30"/>
        </w:rPr>
        <w:t>“三公”经费支出决算表</w:t>
      </w:r>
    </w:p>
    <w:p>
      <w:pPr>
        <w:rPr>
          <w:rFonts w:ascii="仿宋_GB2312" w:hAnsi="仿宋_GB2312" w:cs="Times New Roman"/>
          <w:szCs w:val="21"/>
        </w:rPr>
      </w:pPr>
      <w:r>
        <w:rPr>
          <w:rFonts w:hint="eastAsia" w:ascii="黑体" w:hAnsi="黑体" w:eastAsia="黑体"/>
          <w:b/>
          <w:bCs/>
          <w:sz w:val="30"/>
          <w:szCs w:val="30"/>
        </w:rPr>
        <w:t xml:space="preserve">                                                                                    </w:t>
      </w:r>
      <w:r>
        <w:rPr>
          <w:rFonts w:ascii="仿宋_GB2312" w:hAnsi="仿宋_GB2312"/>
        </w:rPr>
        <w:t>公开08表</w:t>
      </w:r>
    </w:p>
    <w:p>
      <w:pPr>
        <w:rPr>
          <w:rFonts w:ascii="仿宋_GB2312" w:hAnsi="宋体" w:cs="宋体"/>
          <w:kern w:val="0"/>
        </w:rPr>
      </w:pPr>
      <w:r>
        <w:rPr>
          <w:rFonts w:ascii="仿宋_GB2312" w:hAnsi="仿宋_GB2312"/>
        </w:rPr>
        <w:t xml:space="preserve"> 部门：</w:t>
      </w:r>
      <w:r>
        <w:rPr>
          <w:rFonts w:ascii="仿宋_GB2312" w:hAnsi="仿宋_GB2312"/>
          <w:sz w:val="22"/>
        </w:rPr>
        <w:t>枣庄市安全生产监督管理局</w:t>
      </w:r>
      <w:r>
        <w:rPr>
          <w:rFonts w:hint="eastAsia" w:ascii="黑体" w:hAnsi="黑体" w:eastAsia="黑体"/>
          <w:sz w:val="30"/>
          <w:szCs w:val="30"/>
        </w:rPr>
        <w:t xml:space="preserve"> </w:t>
      </w:r>
      <w:r>
        <w:rPr>
          <w:rFonts w:hint="eastAsia" w:ascii="黑体" w:hAnsi="黑体" w:eastAsia="黑体"/>
          <w:b/>
          <w:bCs/>
          <w:sz w:val="30"/>
          <w:szCs w:val="30"/>
        </w:rPr>
        <w:t xml:space="preserve">                                                             </w:t>
      </w:r>
      <w:r>
        <w:rPr>
          <w:rFonts w:ascii="仿宋_GB2312" w:hAnsi="仿宋_GB2312" w:cs="宋体"/>
          <w:kern w:val="0"/>
        </w:rPr>
        <w:t>单位：万元</w:t>
      </w:r>
    </w:p>
    <w:p>
      <w:pPr>
        <w:jc w:val="center"/>
        <w:rPr>
          <w:rFonts w:ascii="黑体" w:hAnsi="黑体" w:eastAsia="黑体" w:cs="Times New Roman"/>
          <w:b/>
          <w:bCs/>
          <w:sz w:val="30"/>
          <w:szCs w:val="30"/>
        </w:rPr>
      </w:pPr>
      <w:r>
        <w:rPr>
          <w:rFonts w:hint="eastAsia" w:ascii="黑体" w:hAnsi="黑体" w:eastAsia="黑体"/>
          <w:b/>
          <w:bCs/>
          <w:sz w:val="30"/>
          <w:szCs w:val="30"/>
        </w:rPr>
        <w:t xml:space="preserve"> </w:t>
      </w:r>
    </w:p>
    <w:tbl>
      <w:tblPr>
        <w:tblStyle w:val="5"/>
        <w:tblW w:w="14640" w:type="dxa"/>
        <w:tblInd w:w="93"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559" w:hRule="atLeast"/>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宋体" w:hAnsi="宋体" w:eastAsia="宋体"/>
                <w:kern w:val="0"/>
                <w:sz w:val="22"/>
              </w:rPr>
            </w:pPr>
            <w:r>
              <w:rPr>
                <w:rFonts w:hint="eastAsia" w:ascii="宋体" w:hAnsi="宋体"/>
                <w:kern w:val="0"/>
                <w:sz w:val="22"/>
              </w:rPr>
              <w:t>2016年度预算数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宋体" w:hAnsi="宋体" w:eastAsia="宋体"/>
                <w:kern w:val="0"/>
                <w:sz w:val="22"/>
              </w:rPr>
            </w:pPr>
            <w:r>
              <w:rPr>
                <w:rFonts w:hint="eastAsia" w:ascii="宋体" w:hAnsi="宋体"/>
                <w:kern w:val="0"/>
                <w:sz w:val="22"/>
              </w:rPr>
              <w:t>2016年度决算数</w:t>
            </w:r>
          </w:p>
        </w:tc>
      </w:tr>
      <w:tr>
        <w:tblPrEx>
          <w:tblLayout w:type="fixed"/>
          <w:tblCellMar>
            <w:top w:w="0" w:type="dxa"/>
            <w:left w:w="108" w:type="dxa"/>
            <w:bottom w:w="0" w:type="dxa"/>
            <w:right w:w="108" w:type="dxa"/>
          </w:tblCellMar>
        </w:tblPrEx>
        <w:trPr>
          <w:trHeight w:val="600" w:hRule="atLeast"/>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合计</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2"/>
              </w:rPr>
            </w:pPr>
            <w:r>
              <w:rPr>
                <w:rFonts w:hint="eastAsia" w:ascii="宋体" w:hAnsi="宋体"/>
                <w:kern w:val="0"/>
                <w:sz w:val="22"/>
              </w:rPr>
              <w:t>公务用车购置及运行费</w:t>
            </w:r>
          </w:p>
        </w:tc>
        <w:tc>
          <w:tcPr>
            <w:tcW w:w="1220"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公务接待费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合计</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因公出国（境）费</w:t>
            </w:r>
          </w:p>
        </w:tc>
        <w:tc>
          <w:tcPr>
            <w:tcW w:w="3660" w:type="dxa"/>
            <w:gridSpan w:val="3"/>
            <w:tcBorders>
              <w:top w:val="single" w:color="auto" w:sz="4" w:space="0"/>
              <w:left w:val="nil"/>
              <w:bottom w:val="nil"/>
              <w:right w:val="single" w:color="000000" w:sz="4" w:space="0"/>
            </w:tcBorders>
            <w:vAlign w:val="center"/>
          </w:tcPr>
          <w:p>
            <w:pPr>
              <w:widowControl/>
              <w:jc w:val="center"/>
              <w:rPr>
                <w:rFonts w:ascii="宋体" w:hAnsi="宋体" w:eastAsia="宋体"/>
                <w:kern w:val="0"/>
                <w:sz w:val="22"/>
              </w:rPr>
            </w:pPr>
            <w:r>
              <w:rPr>
                <w:rFonts w:hint="eastAsia" w:ascii="宋体" w:hAnsi="宋体"/>
                <w:kern w:val="0"/>
                <w:sz w:val="22"/>
              </w:rPr>
              <w:t>公务用车购置及运行费</w:t>
            </w:r>
          </w:p>
        </w:tc>
        <w:tc>
          <w:tcPr>
            <w:tcW w:w="1220" w:type="dxa"/>
            <w:vMerge w:val="restart"/>
            <w:tcBorders>
              <w:top w:val="nil"/>
              <w:left w:val="nil"/>
              <w:bottom w:val="single" w:color="000000" w:sz="4" w:space="0"/>
              <w:right w:val="single" w:color="auto" w:sz="8" w:space="0"/>
            </w:tcBorders>
            <w:vAlign w:val="center"/>
          </w:tcPr>
          <w:p>
            <w:pPr>
              <w:widowControl/>
              <w:jc w:val="center"/>
              <w:rPr>
                <w:rFonts w:ascii="宋体" w:hAnsi="宋体" w:eastAsia="宋体"/>
                <w:kern w:val="0"/>
                <w:sz w:val="22"/>
              </w:rPr>
            </w:pPr>
            <w:r>
              <w:rPr>
                <w:rFonts w:hint="eastAsia" w:ascii="宋体" w:hAnsi="宋体"/>
                <w:kern w:val="0"/>
                <w:sz w:val="22"/>
              </w:rPr>
              <w:t>公务接待费</w:t>
            </w:r>
          </w:p>
        </w:tc>
      </w:tr>
      <w:tr>
        <w:tblPrEx>
          <w:tblLayout w:type="fixed"/>
          <w:tblCellMar>
            <w:top w:w="0" w:type="dxa"/>
            <w:left w:w="108" w:type="dxa"/>
            <w:bottom w:w="0" w:type="dxa"/>
            <w:right w:w="108" w:type="dxa"/>
          </w:tblCellMar>
        </w:tblPrEx>
        <w:trPr>
          <w:trHeight w:val="600" w:hRule="atLeast"/>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eastAsia="宋体"/>
                <w:kern w:val="0"/>
                <w:sz w:val="22"/>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kern w:val="0"/>
                <w:sz w:val="22"/>
              </w:rPr>
            </w:pP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小计</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公务用车购置费</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公务用车运行费</w:t>
            </w:r>
          </w:p>
        </w:tc>
        <w:tc>
          <w:tcPr>
            <w:tcW w:w="122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kern w:val="0"/>
                <w:sz w:val="22"/>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kern w:val="0"/>
                <w:sz w:val="22"/>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kern w:val="0"/>
                <w:sz w:val="22"/>
              </w:rPr>
            </w:pP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小计</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公务用车购置费</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公务用车运行费</w:t>
            </w:r>
          </w:p>
        </w:tc>
        <w:tc>
          <w:tcPr>
            <w:tcW w:w="1220" w:type="dxa"/>
            <w:vMerge w:val="continue"/>
            <w:tcBorders>
              <w:top w:val="nil"/>
              <w:left w:val="nil"/>
              <w:bottom w:val="single" w:color="000000" w:sz="4" w:space="0"/>
              <w:right w:val="single" w:color="auto" w:sz="8" w:space="0"/>
            </w:tcBorders>
            <w:vAlign w:val="center"/>
          </w:tcPr>
          <w:p>
            <w:pPr>
              <w:widowControl/>
              <w:jc w:val="left"/>
              <w:rPr>
                <w:rFonts w:ascii="宋体" w:hAnsi="宋体" w:eastAsia="宋体"/>
                <w:kern w:val="0"/>
                <w:sz w:val="22"/>
              </w:rPr>
            </w:pPr>
          </w:p>
        </w:tc>
      </w:tr>
      <w:tr>
        <w:tblPrEx>
          <w:tblLayout w:type="fixed"/>
          <w:tblCellMar>
            <w:top w:w="0" w:type="dxa"/>
            <w:left w:w="108" w:type="dxa"/>
            <w:bottom w:w="0" w:type="dxa"/>
            <w:right w:w="108" w:type="dxa"/>
          </w:tblCellMar>
        </w:tblPrEx>
        <w:trPr>
          <w:trHeight w:val="559" w:hRule="atLeast"/>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1</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2</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3</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4</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5</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6</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7</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8</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9</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10</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2"/>
              </w:rPr>
            </w:pPr>
            <w:r>
              <w:rPr>
                <w:rFonts w:hint="eastAsia" w:ascii="宋体" w:hAnsi="宋体"/>
                <w:kern w:val="0"/>
                <w:sz w:val="22"/>
              </w:rPr>
              <w:t>11</w:t>
            </w:r>
          </w:p>
        </w:tc>
        <w:tc>
          <w:tcPr>
            <w:tcW w:w="1220" w:type="dxa"/>
            <w:tcBorders>
              <w:top w:val="nil"/>
              <w:left w:val="nil"/>
              <w:bottom w:val="single" w:color="auto" w:sz="4" w:space="0"/>
              <w:right w:val="single" w:color="auto" w:sz="8" w:space="0"/>
            </w:tcBorders>
            <w:vAlign w:val="center"/>
          </w:tcPr>
          <w:p>
            <w:pPr>
              <w:widowControl/>
              <w:jc w:val="center"/>
              <w:rPr>
                <w:rFonts w:ascii="宋体" w:hAnsi="宋体" w:eastAsia="宋体"/>
                <w:kern w:val="0"/>
                <w:sz w:val="22"/>
              </w:rPr>
            </w:pPr>
            <w:r>
              <w:rPr>
                <w:rFonts w:hint="eastAsia" w:ascii="宋体" w:hAnsi="宋体"/>
                <w:kern w:val="0"/>
                <w:sz w:val="22"/>
              </w:rPr>
              <w:t>12</w:t>
            </w:r>
          </w:p>
        </w:tc>
      </w:tr>
      <w:tr>
        <w:tblPrEx>
          <w:tblLayout w:type="fixed"/>
          <w:tblCellMar>
            <w:top w:w="0" w:type="dxa"/>
            <w:left w:w="108" w:type="dxa"/>
            <w:bottom w:w="0" w:type="dxa"/>
            <w:right w:w="108" w:type="dxa"/>
          </w:tblCellMar>
        </w:tblPrEx>
        <w:trPr>
          <w:trHeight w:val="855" w:hRule="atLeast"/>
        </w:trPr>
        <w:tc>
          <w:tcPr>
            <w:tcW w:w="1220" w:type="dxa"/>
            <w:tcBorders>
              <w:top w:val="nil"/>
              <w:left w:val="single" w:color="auto" w:sz="8" w:space="0"/>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50</w:t>
            </w:r>
          </w:p>
        </w:tc>
        <w:tc>
          <w:tcPr>
            <w:tcW w:w="1220" w:type="dxa"/>
            <w:tcBorders>
              <w:top w:val="nil"/>
              <w:left w:val="nil"/>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 xml:space="preserve"> 26</w:t>
            </w:r>
          </w:p>
        </w:tc>
        <w:tc>
          <w:tcPr>
            <w:tcW w:w="1220" w:type="dxa"/>
            <w:tcBorders>
              <w:top w:val="nil"/>
              <w:left w:val="nil"/>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 xml:space="preserve"> 24</w:t>
            </w:r>
          </w:p>
        </w:tc>
        <w:tc>
          <w:tcPr>
            <w:tcW w:w="1220" w:type="dxa"/>
            <w:tcBorders>
              <w:top w:val="nil"/>
              <w:left w:val="nil"/>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 xml:space="preserve"> 0.00</w:t>
            </w:r>
          </w:p>
        </w:tc>
        <w:tc>
          <w:tcPr>
            <w:tcW w:w="1220" w:type="dxa"/>
            <w:tcBorders>
              <w:top w:val="nil"/>
              <w:left w:val="nil"/>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22</w:t>
            </w:r>
          </w:p>
        </w:tc>
        <w:tc>
          <w:tcPr>
            <w:tcW w:w="1220" w:type="dxa"/>
            <w:tcBorders>
              <w:top w:val="nil"/>
              <w:left w:val="nil"/>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 xml:space="preserve"> 2</w:t>
            </w:r>
          </w:p>
        </w:tc>
        <w:tc>
          <w:tcPr>
            <w:tcW w:w="1220" w:type="dxa"/>
            <w:tcBorders>
              <w:top w:val="nil"/>
              <w:left w:val="nil"/>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 xml:space="preserve"> 32.8</w:t>
            </w:r>
          </w:p>
        </w:tc>
        <w:tc>
          <w:tcPr>
            <w:tcW w:w="1220" w:type="dxa"/>
            <w:tcBorders>
              <w:top w:val="nil"/>
              <w:left w:val="nil"/>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26</w:t>
            </w:r>
          </w:p>
        </w:tc>
        <w:tc>
          <w:tcPr>
            <w:tcW w:w="1220" w:type="dxa"/>
            <w:tcBorders>
              <w:top w:val="nil"/>
              <w:left w:val="nil"/>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 xml:space="preserve"> 6.8</w:t>
            </w:r>
          </w:p>
        </w:tc>
        <w:tc>
          <w:tcPr>
            <w:tcW w:w="1220" w:type="dxa"/>
            <w:tcBorders>
              <w:top w:val="nil"/>
              <w:left w:val="nil"/>
              <w:bottom w:val="single" w:color="auto" w:sz="8" w:space="0"/>
              <w:right w:val="single" w:color="auto" w:sz="4" w:space="0"/>
            </w:tcBorders>
            <w:vAlign w:val="center"/>
          </w:tcPr>
          <w:p>
            <w:pPr>
              <w:widowControl/>
              <w:jc w:val="left"/>
              <w:rPr>
                <w:rFonts w:ascii="宋体" w:hAnsi="宋体" w:eastAsia="宋体"/>
                <w:kern w:val="0"/>
                <w:sz w:val="22"/>
              </w:rPr>
            </w:pPr>
            <w:r>
              <w:rPr>
                <w:rFonts w:hint="eastAsia" w:ascii="宋体" w:hAnsi="宋体"/>
                <w:kern w:val="0"/>
                <w:sz w:val="22"/>
              </w:rPr>
              <w:t xml:space="preserve"> 0.00</w:t>
            </w:r>
          </w:p>
        </w:tc>
        <w:tc>
          <w:tcPr>
            <w:tcW w:w="1220" w:type="dxa"/>
            <w:tcBorders>
              <w:top w:val="nil"/>
              <w:left w:val="nil"/>
              <w:bottom w:val="single" w:color="auto" w:sz="8" w:space="0"/>
              <w:right w:val="nil"/>
            </w:tcBorders>
            <w:vAlign w:val="center"/>
          </w:tcPr>
          <w:p>
            <w:pPr>
              <w:widowControl/>
              <w:jc w:val="left"/>
              <w:rPr>
                <w:rFonts w:ascii="宋体" w:hAnsi="宋体" w:eastAsia="宋体"/>
                <w:kern w:val="0"/>
                <w:sz w:val="22"/>
              </w:rPr>
            </w:pPr>
            <w:r>
              <w:rPr>
                <w:rFonts w:hint="eastAsia" w:ascii="宋体" w:hAnsi="宋体"/>
                <w:kern w:val="0"/>
                <w:sz w:val="22"/>
              </w:rPr>
              <w:t xml:space="preserve"> 4.8</w:t>
            </w:r>
          </w:p>
        </w:tc>
        <w:tc>
          <w:tcPr>
            <w:tcW w:w="1220" w:type="dxa"/>
            <w:tcBorders>
              <w:top w:val="nil"/>
              <w:left w:val="single" w:color="auto" w:sz="4" w:space="0"/>
              <w:bottom w:val="single" w:color="auto" w:sz="8" w:space="0"/>
              <w:right w:val="single" w:color="auto" w:sz="8" w:space="0"/>
            </w:tcBorders>
            <w:vAlign w:val="center"/>
          </w:tcPr>
          <w:p>
            <w:pPr>
              <w:widowControl/>
              <w:jc w:val="left"/>
              <w:rPr>
                <w:rFonts w:ascii="宋体" w:hAnsi="宋体" w:eastAsia="宋体"/>
                <w:kern w:val="0"/>
                <w:sz w:val="22"/>
              </w:rPr>
            </w:pPr>
            <w:r>
              <w:rPr>
                <w:rFonts w:hint="eastAsia" w:ascii="宋体" w:hAnsi="宋体"/>
                <w:kern w:val="0"/>
                <w:sz w:val="22"/>
              </w:rPr>
              <w:t>2</w:t>
            </w:r>
          </w:p>
        </w:tc>
      </w:tr>
    </w:tbl>
    <w:p>
      <w:pPr>
        <w:jc w:val="center"/>
        <w:rPr>
          <w:rFonts w:hint="eastAsia" w:ascii="黑体" w:hAnsi="黑体" w:eastAsia="黑体" w:cs="Times New Roman"/>
          <w:b/>
          <w:bCs/>
          <w:sz w:val="30"/>
          <w:szCs w:val="30"/>
        </w:rPr>
      </w:pPr>
      <w:r>
        <w:rPr>
          <w:rFonts w:hint="eastAsia" w:ascii="黑体" w:hAnsi="黑体" w:eastAsia="黑体"/>
          <w:b/>
          <w:bCs/>
          <w:sz w:val="30"/>
          <w:szCs w:val="30"/>
        </w:rPr>
        <w:t xml:space="preserve"> </w:t>
      </w:r>
    </w:p>
    <w:p>
      <w:pPr>
        <w:pStyle w:val="9"/>
        <w:jc w:val="both"/>
        <w:rPr>
          <w:rFonts w:hint="eastAsia"/>
          <w:sz w:val="22"/>
          <w:szCs w:val="22"/>
        </w:rPr>
      </w:pPr>
      <w:r>
        <w:rPr>
          <w:rFonts w:hint="eastAsia"/>
          <w:sz w:val="22"/>
          <w:szCs w:val="22"/>
        </w:rPr>
        <w:t>注：本表反映部门本年度“三公”经费支出预决算情况。其中，2016年度预算数为“三公”经费年初预算数，决算数是包括当年一般公共预算财政拨款和以前年度结转资金安排的实际支出。</w:t>
      </w:r>
    </w:p>
    <w:p>
      <w:pPr>
        <w:rPr>
          <w:rFonts w:hint="eastAsia" w:ascii="黑体" w:hAnsi="黑体" w:eastAsia="黑体"/>
          <w:b/>
          <w:bCs/>
          <w:sz w:val="30"/>
          <w:szCs w:val="30"/>
        </w:rPr>
      </w:pPr>
      <w:r>
        <w:rPr>
          <w:rFonts w:hint="eastAsia" w:ascii="黑体" w:hAnsi="黑体" w:eastAsia="黑体"/>
          <w:b/>
          <w:bCs/>
          <w:sz w:val="30"/>
          <w:szCs w:val="30"/>
        </w:rPr>
        <w:t xml:space="preserve"> </w:t>
      </w:r>
    </w:p>
    <w:p>
      <w:pPr>
        <w:widowControl/>
        <w:shd w:val="clear" w:color="auto" w:fill="FFFFFF"/>
        <w:rPr>
          <w:rFonts w:ascii="黑体" w:hAnsi="黑体" w:eastAsia="黑体" w:cs="Times New Roman"/>
          <w:color w:val="000000"/>
          <w:kern w:val="0"/>
          <w:sz w:val="52"/>
          <w:szCs w:val="52"/>
        </w:rPr>
        <w:sectPr>
          <w:pgSz w:w="16838" w:h="11906" w:orient="landscape"/>
          <w:pgMar w:top="1134" w:right="1134" w:bottom="1134" w:left="1134" w:header="851" w:footer="992" w:gutter="0"/>
          <w:cols w:space="425" w:num="1"/>
          <w:docGrid w:type="linesAndChars" w:linePitch="312" w:charSpace="0"/>
        </w:sectPr>
      </w:pPr>
    </w:p>
    <w:p>
      <w:pPr>
        <w:widowControl/>
        <w:shd w:val="clear" w:color="auto" w:fill="FFFFFF"/>
        <w:rPr>
          <w:rFonts w:ascii="Times New Roman" w:hAnsi="Times New Roman" w:eastAsia="宋体" w:cs="Times New Roman"/>
          <w:color w:val="000000"/>
          <w:kern w:val="0"/>
          <w:szCs w:val="21"/>
        </w:rPr>
      </w:pPr>
      <w:r>
        <w:rPr>
          <w:rFonts w:hint="eastAsia" w:ascii="黑体" w:hAnsi="黑体" w:eastAsia="黑体" w:cs="Times New Roman"/>
          <w:color w:val="000000"/>
          <w:kern w:val="0"/>
          <w:sz w:val="52"/>
          <w:szCs w:val="52"/>
        </w:rPr>
        <w:t>第三部分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宋体"/>
          <w:color w:val="000000"/>
          <w:kern w:val="0"/>
          <w:sz w:val="52"/>
          <w:szCs w:val="52"/>
        </w:rPr>
        <w:t> </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宋体"/>
          <w:color w:val="000000"/>
          <w:kern w:val="0"/>
          <w:sz w:val="52"/>
          <w:szCs w:val="52"/>
        </w:rPr>
        <w:t> </w:t>
      </w:r>
    </w:p>
    <w:p>
      <w:pPr>
        <w:widowControl/>
        <w:shd w:val="clear" w:color="auto" w:fill="FFFFFF"/>
        <w:ind w:left="985" w:hanging="260"/>
        <w:jc w:val="center"/>
        <w:rPr>
          <w:rFonts w:ascii="Times New Roman" w:hAnsi="Times New Roman" w:eastAsia="宋体" w:cs="Times New Roman"/>
          <w:color w:val="000000"/>
          <w:kern w:val="0"/>
          <w:szCs w:val="21"/>
        </w:rPr>
      </w:pPr>
      <w:r>
        <w:rPr>
          <w:rFonts w:hint="eastAsia" w:ascii="黑体" w:hAnsi="黑体" w:eastAsia="黑体" w:cs="Times New Roman"/>
          <w:color w:val="000000"/>
          <w:kern w:val="0"/>
          <w:sz w:val="52"/>
          <w:szCs w:val="52"/>
        </w:rPr>
        <w:t>2016年度部门决算</w:t>
      </w:r>
    </w:p>
    <w:p>
      <w:pPr>
        <w:widowControl/>
        <w:shd w:val="clear" w:color="auto" w:fill="FFFFFF"/>
        <w:ind w:left="985" w:hanging="260"/>
        <w:jc w:val="center"/>
        <w:rPr>
          <w:rFonts w:ascii="Times New Roman" w:hAnsi="Times New Roman" w:eastAsia="宋体" w:cs="Times New Roman"/>
          <w:color w:val="000000"/>
          <w:kern w:val="0"/>
          <w:szCs w:val="21"/>
        </w:rPr>
      </w:pPr>
      <w:r>
        <w:rPr>
          <w:rFonts w:hint="eastAsia" w:ascii="黑体" w:hAnsi="黑体" w:eastAsia="黑体" w:cs="Times New Roman"/>
          <w:color w:val="000000"/>
          <w:kern w:val="0"/>
          <w:sz w:val="52"/>
          <w:szCs w:val="52"/>
        </w:rPr>
        <w:t>情况说明</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宋体"/>
          <w:b/>
          <w:bCs/>
          <w:color w:val="000000"/>
          <w:kern w:val="0"/>
          <w:sz w:val="30"/>
          <w:szCs w:val="30"/>
        </w:rPr>
        <w:t>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一、收入支出决算总体情况</w:t>
      </w:r>
    </w:p>
    <w:p>
      <w:pPr>
        <w:spacing w:line="580" w:lineRule="exact"/>
        <w:ind w:firstLine="640" w:firstLineChars="200"/>
        <w:rPr>
          <w:rFonts w:hint="eastAsia" w:ascii="仿宋_GB2312" w:hAnsi="仿宋_GB2312" w:eastAsia="宋体"/>
          <w:sz w:val="32"/>
          <w:szCs w:val="32"/>
        </w:rPr>
      </w:pPr>
      <w:r>
        <w:rPr>
          <w:rFonts w:ascii="仿宋_GB2312" w:hAnsi="仿宋_GB2312"/>
          <w:sz w:val="32"/>
          <w:szCs w:val="32"/>
        </w:rPr>
        <w:t>201</w:t>
      </w:r>
      <w:r>
        <w:rPr>
          <w:rFonts w:hint="eastAsia" w:ascii="仿宋_GB2312" w:hAnsi="仿宋_GB2312"/>
          <w:sz w:val="32"/>
          <w:szCs w:val="32"/>
        </w:rPr>
        <w:t>6</w:t>
      </w:r>
      <w:r>
        <w:rPr>
          <w:rFonts w:ascii="宋体" w:hAnsi="宋体"/>
          <w:sz w:val="32"/>
          <w:szCs w:val="32"/>
        </w:rPr>
        <w:t>年度收入总计</w:t>
      </w:r>
      <w:r>
        <w:rPr>
          <w:rFonts w:ascii="仿宋_GB2312" w:hAnsi="仿宋_GB2312"/>
          <w:sz w:val="32"/>
          <w:szCs w:val="32"/>
        </w:rPr>
        <w:t xml:space="preserve"> </w:t>
      </w:r>
      <w:r>
        <w:rPr>
          <w:rFonts w:hint="eastAsia" w:ascii="仿宋_GB2312" w:hAnsi="仿宋_GB2312"/>
          <w:sz w:val="32"/>
          <w:szCs w:val="32"/>
        </w:rPr>
        <w:t>1359.6</w:t>
      </w:r>
      <w:r>
        <w:rPr>
          <w:rFonts w:ascii="仿宋_GB2312" w:hAnsi="仿宋_GB2312"/>
          <w:sz w:val="32"/>
          <w:szCs w:val="32"/>
        </w:rPr>
        <w:t xml:space="preserve">  </w:t>
      </w:r>
      <w:r>
        <w:rPr>
          <w:rFonts w:ascii="宋体" w:hAnsi="宋体"/>
          <w:sz w:val="32"/>
          <w:szCs w:val="32"/>
        </w:rPr>
        <w:t>万元，其中：财政拨款收入</w:t>
      </w:r>
      <w:r>
        <w:rPr>
          <w:rFonts w:ascii="仿宋_GB2312" w:hAnsi="仿宋_GB2312"/>
          <w:sz w:val="32"/>
          <w:szCs w:val="32"/>
        </w:rPr>
        <w:t xml:space="preserve">  </w:t>
      </w:r>
      <w:r>
        <w:rPr>
          <w:rFonts w:hint="eastAsia" w:ascii="仿宋_GB2312" w:hAnsi="仿宋_GB2312"/>
          <w:sz w:val="32"/>
          <w:szCs w:val="32"/>
        </w:rPr>
        <w:t>1359.6</w:t>
      </w:r>
      <w:r>
        <w:rPr>
          <w:rFonts w:ascii="宋体" w:hAnsi="宋体"/>
          <w:sz w:val="32"/>
          <w:szCs w:val="32"/>
        </w:rPr>
        <w:t>万元，年初结转和结余</w:t>
      </w:r>
      <w:r>
        <w:rPr>
          <w:rFonts w:ascii="仿宋_GB2312" w:hAnsi="仿宋_GB2312"/>
          <w:sz w:val="32"/>
          <w:szCs w:val="32"/>
        </w:rPr>
        <w:t xml:space="preserve"> </w:t>
      </w:r>
      <w:r>
        <w:rPr>
          <w:rFonts w:hint="eastAsia" w:ascii="仿宋_GB2312" w:hAnsi="仿宋_GB2312"/>
          <w:sz w:val="32"/>
          <w:szCs w:val="32"/>
        </w:rPr>
        <w:t>36.07</w:t>
      </w:r>
      <w:r>
        <w:rPr>
          <w:rFonts w:ascii="仿宋_GB2312" w:hAnsi="仿宋_GB2312"/>
          <w:sz w:val="32"/>
          <w:szCs w:val="32"/>
        </w:rPr>
        <w:t xml:space="preserve"> </w:t>
      </w:r>
      <w:r>
        <w:rPr>
          <w:rFonts w:ascii="宋体" w:hAnsi="宋体"/>
          <w:sz w:val="32"/>
          <w:szCs w:val="32"/>
        </w:rPr>
        <w:t>万元。</w:t>
      </w:r>
      <w:r>
        <w:rPr>
          <w:rFonts w:ascii="仿宋_GB2312" w:hAnsi="仿宋_GB2312"/>
          <w:sz w:val="32"/>
          <w:szCs w:val="32"/>
        </w:rPr>
        <w:t>201</w:t>
      </w:r>
      <w:r>
        <w:rPr>
          <w:rFonts w:hint="eastAsia" w:ascii="仿宋_GB2312" w:hAnsi="仿宋_GB2312"/>
          <w:sz w:val="32"/>
          <w:szCs w:val="32"/>
        </w:rPr>
        <w:t>6</w:t>
      </w:r>
      <w:r>
        <w:rPr>
          <w:rFonts w:ascii="宋体" w:hAnsi="宋体"/>
          <w:sz w:val="32"/>
          <w:szCs w:val="32"/>
        </w:rPr>
        <w:t>年度支出总计</w:t>
      </w:r>
      <w:r>
        <w:rPr>
          <w:rFonts w:ascii="仿宋_GB2312" w:hAnsi="仿宋_GB2312"/>
          <w:sz w:val="32"/>
          <w:szCs w:val="32"/>
        </w:rPr>
        <w:t xml:space="preserve"> </w:t>
      </w:r>
      <w:r>
        <w:rPr>
          <w:rFonts w:hint="eastAsia" w:ascii="仿宋_GB2312" w:hAnsi="仿宋_GB2312"/>
          <w:sz w:val="32"/>
          <w:szCs w:val="32"/>
        </w:rPr>
        <w:t>1139.5</w:t>
      </w:r>
      <w:r>
        <w:rPr>
          <w:rFonts w:ascii="仿宋_GB2312" w:hAnsi="仿宋_GB2312"/>
          <w:sz w:val="32"/>
          <w:szCs w:val="32"/>
        </w:rPr>
        <w:t xml:space="preserve">  </w:t>
      </w:r>
      <w:r>
        <w:rPr>
          <w:rFonts w:ascii="宋体" w:hAnsi="宋体"/>
          <w:sz w:val="32"/>
          <w:szCs w:val="32"/>
        </w:rPr>
        <w:t>万元，</w:t>
      </w:r>
      <w:r>
        <w:rPr>
          <w:rFonts w:hint="eastAsia" w:ascii="宋体" w:hAnsi="宋体"/>
          <w:sz w:val="32"/>
          <w:szCs w:val="32"/>
        </w:rPr>
        <w:t>年末结转结余</w:t>
      </w:r>
      <w:r>
        <w:rPr>
          <w:rFonts w:hint="eastAsia" w:ascii="仿宋_GB2312" w:hAnsi="仿宋_GB2312"/>
          <w:sz w:val="32"/>
          <w:szCs w:val="32"/>
        </w:rPr>
        <w:t>220.11</w:t>
      </w:r>
      <w:r>
        <w:rPr>
          <w:rFonts w:hint="eastAsia" w:ascii="宋体" w:hAnsi="宋体"/>
          <w:sz w:val="32"/>
          <w:szCs w:val="32"/>
        </w:rPr>
        <w:t>万元。</w:t>
      </w:r>
      <w:r>
        <w:rPr>
          <w:rFonts w:ascii="仿宋_GB2312" w:hAnsi="仿宋_GB2312"/>
          <w:sz w:val="32"/>
          <w:szCs w:val="32"/>
        </w:rPr>
        <w:t xml:space="preserve"> </w:t>
      </w:r>
      <w:r>
        <w:rPr>
          <w:rFonts w:hint="eastAsia" w:ascii="宋体" w:hAnsi="宋体"/>
          <w:sz w:val="32"/>
          <w:szCs w:val="32"/>
          <w:lang w:eastAsia="zh-CN"/>
        </w:rPr>
        <w:t>比</w:t>
      </w:r>
      <w:r>
        <w:rPr>
          <w:rFonts w:hint="eastAsia" w:ascii="宋体" w:hAnsi="宋体"/>
          <w:sz w:val="32"/>
          <w:szCs w:val="32"/>
          <w:lang w:val="en-US" w:eastAsia="zh-CN"/>
        </w:rPr>
        <w:t>2015年度收入增加267万，原因是增加当年专项2016年老旧汽车补贴费用。</w:t>
      </w:r>
    </w:p>
    <w:p>
      <w:pPr>
        <w:spacing w:line="580" w:lineRule="exact"/>
        <w:rPr>
          <w:rFonts w:ascii="黑体" w:hAnsi="黑体" w:eastAsia="黑体"/>
          <w:sz w:val="32"/>
          <w:szCs w:val="32"/>
        </w:rPr>
      </w:pPr>
      <w:r>
        <w:rPr>
          <w:rFonts w:hint="eastAsia" w:ascii="黑体" w:hAnsi="黑体" w:eastAsia="黑体"/>
          <w:sz w:val="32"/>
          <w:szCs w:val="32"/>
        </w:rPr>
        <w:t>二、一般公共预算财政拨款支出决算情况</w:t>
      </w:r>
    </w:p>
    <w:p>
      <w:pPr>
        <w:spacing w:line="580" w:lineRule="exact"/>
        <w:ind w:firstLine="640" w:firstLineChars="200"/>
        <w:rPr>
          <w:rFonts w:hint="eastAsia" w:ascii="仿宋_GB2312" w:hAnsi="仿宋_GB2312" w:eastAsia="宋体"/>
          <w:sz w:val="32"/>
          <w:szCs w:val="32"/>
        </w:rPr>
      </w:pPr>
      <w:r>
        <w:rPr>
          <w:rFonts w:ascii="仿宋_GB2312" w:hAnsi="仿宋_GB2312"/>
          <w:sz w:val="32"/>
          <w:szCs w:val="32"/>
        </w:rPr>
        <w:t>201</w:t>
      </w:r>
      <w:r>
        <w:rPr>
          <w:rFonts w:hint="eastAsia" w:ascii="仿宋_GB2312" w:hAnsi="仿宋_GB2312"/>
          <w:sz w:val="32"/>
          <w:szCs w:val="32"/>
        </w:rPr>
        <w:t>6</w:t>
      </w:r>
      <w:r>
        <w:rPr>
          <w:rFonts w:ascii="宋体" w:hAnsi="宋体"/>
          <w:sz w:val="32"/>
          <w:szCs w:val="32"/>
        </w:rPr>
        <w:t>年度一般公共预算财政拨款支出决算为</w:t>
      </w:r>
      <w:r>
        <w:rPr>
          <w:rFonts w:hint="eastAsia" w:ascii="仿宋_GB2312" w:hAnsi="仿宋_GB2312"/>
          <w:sz w:val="32"/>
          <w:szCs w:val="32"/>
        </w:rPr>
        <w:t>1139.5</w:t>
      </w:r>
      <w:r>
        <w:rPr>
          <w:rFonts w:ascii="仿宋_GB2312" w:hAnsi="仿宋_GB2312"/>
          <w:sz w:val="32"/>
          <w:szCs w:val="32"/>
        </w:rPr>
        <w:t xml:space="preserve"> </w:t>
      </w:r>
      <w:r>
        <w:rPr>
          <w:rFonts w:ascii="宋体" w:hAnsi="宋体"/>
          <w:sz w:val="32"/>
          <w:szCs w:val="32"/>
        </w:rPr>
        <w:t>万元，具体情况如下：</w:t>
      </w:r>
    </w:p>
    <w:p>
      <w:pPr>
        <w:spacing w:line="580" w:lineRule="exact"/>
        <w:ind w:firstLine="640" w:firstLineChars="200"/>
        <w:rPr>
          <w:rFonts w:hint="eastAsia" w:ascii="仿宋_GB2312" w:hAnsi="仿宋_GB2312"/>
          <w:sz w:val="32"/>
          <w:szCs w:val="32"/>
        </w:rPr>
      </w:pPr>
      <w:r>
        <w:rPr>
          <w:rFonts w:hint="eastAsia" w:ascii="仿宋_GB2312" w:hAnsi="仿宋_GB2312"/>
          <w:sz w:val="32"/>
          <w:szCs w:val="32"/>
        </w:rPr>
        <w:t>1</w:t>
      </w:r>
      <w:r>
        <w:rPr>
          <w:rFonts w:hint="eastAsia" w:ascii="宋体" w:hAnsi="宋体"/>
          <w:sz w:val="32"/>
          <w:szCs w:val="32"/>
        </w:rPr>
        <w:t>、人员经费支出：</w:t>
      </w:r>
      <w:r>
        <w:rPr>
          <w:rFonts w:hint="eastAsia" w:ascii="仿宋_GB2312" w:hAnsi="仿宋_GB2312"/>
          <w:sz w:val="32"/>
          <w:szCs w:val="32"/>
        </w:rPr>
        <w:t>738.46</w:t>
      </w:r>
      <w:r>
        <w:rPr>
          <w:rFonts w:hint="eastAsia" w:ascii="宋体" w:hAnsi="宋体"/>
          <w:sz w:val="32"/>
          <w:szCs w:val="32"/>
        </w:rPr>
        <w:t>万元；</w:t>
      </w:r>
    </w:p>
    <w:p>
      <w:pPr>
        <w:spacing w:line="580" w:lineRule="exact"/>
        <w:ind w:firstLine="640" w:firstLineChars="200"/>
        <w:rPr>
          <w:rFonts w:hint="eastAsia" w:ascii="仿宋_GB2312" w:hAnsi="仿宋_GB2312"/>
          <w:sz w:val="32"/>
          <w:szCs w:val="32"/>
        </w:rPr>
      </w:pPr>
      <w:r>
        <w:rPr>
          <w:rFonts w:hint="eastAsia" w:ascii="仿宋_GB2312" w:hAnsi="仿宋_GB2312"/>
          <w:sz w:val="32"/>
          <w:szCs w:val="32"/>
        </w:rPr>
        <w:t>2</w:t>
      </w:r>
      <w:r>
        <w:rPr>
          <w:rFonts w:hint="eastAsia" w:ascii="宋体" w:hAnsi="宋体"/>
          <w:sz w:val="32"/>
          <w:szCs w:val="32"/>
        </w:rPr>
        <w:t>、日常公用经费支出：</w:t>
      </w:r>
      <w:r>
        <w:rPr>
          <w:rFonts w:hint="eastAsia" w:ascii="仿宋_GB2312" w:hAnsi="仿宋_GB2312"/>
          <w:sz w:val="32"/>
          <w:szCs w:val="32"/>
        </w:rPr>
        <w:t>74.65</w:t>
      </w:r>
      <w:r>
        <w:rPr>
          <w:rFonts w:hint="eastAsia" w:ascii="宋体" w:hAnsi="宋体"/>
          <w:sz w:val="32"/>
          <w:szCs w:val="32"/>
        </w:rPr>
        <w:t>万元；</w:t>
      </w:r>
    </w:p>
    <w:p>
      <w:pPr>
        <w:spacing w:line="580" w:lineRule="exact"/>
        <w:ind w:firstLine="640" w:firstLineChars="200"/>
        <w:rPr>
          <w:rFonts w:hint="eastAsia" w:ascii="仿宋_GB2312" w:hAnsi="仿宋_GB2312"/>
          <w:sz w:val="32"/>
          <w:szCs w:val="32"/>
        </w:rPr>
      </w:pPr>
      <w:r>
        <w:rPr>
          <w:rFonts w:hint="eastAsia" w:ascii="仿宋_GB2312" w:hAnsi="仿宋_GB2312"/>
          <w:sz w:val="32"/>
          <w:szCs w:val="32"/>
        </w:rPr>
        <w:t>3</w:t>
      </w:r>
      <w:r>
        <w:rPr>
          <w:rFonts w:hint="eastAsia" w:ascii="宋体" w:hAnsi="宋体"/>
          <w:sz w:val="32"/>
          <w:szCs w:val="32"/>
        </w:rPr>
        <w:t>、项目支出：</w:t>
      </w:r>
      <w:r>
        <w:rPr>
          <w:rFonts w:hint="eastAsia" w:ascii="仿宋_GB2312" w:hAnsi="仿宋_GB2312"/>
          <w:sz w:val="32"/>
          <w:szCs w:val="32"/>
        </w:rPr>
        <w:t>326.39</w:t>
      </w:r>
      <w:r>
        <w:rPr>
          <w:rFonts w:hint="eastAsia" w:ascii="宋体" w:hAnsi="宋体"/>
          <w:sz w:val="32"/>
          <w:szCs w:val="32"/>
        </w:rPr>
        <w:t>万元。</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三、政府性基金预算财政拨款收入支出决算情况</w:t>
      </w:r>
    </w:p>
    <w:p>
      <w:pPr>
        <w:spacing w:line="580" w:lineRule="exact"/>
        <w:ind w:firstLine="640" w:firstLineChars="200"/>
        <w:rPr>
          <w:rFonts w:hint="eastAsia" w:ascii="仿宋_GB2312" w:hAnsi="仿宋_GB2312" w:eastAsia="宋体"/>
          <w:sz w:val="32"/>
          <w:szCs w:val="32"/>
        </w:rPr>
      </w:pPr>
      <w:r>
        <w:rPr>
          <w:rFonts w:ascii="仿宋_GB2312" w:hAnsi="仿宋_GB2312"/>
          <w:sz w:val="32"/>
          <w:szCs w:val="32"/>
        </w:rPr>
        <w:t>2015</w:t>
      </w:r>
      <w:r>
        <w:rPr>
          <w:rFonts w:ascii="宋体" w:hAnsi="宋体"/>
          <w:sz w:val="32"/>
          <w:szCs w:val="32"/>
        </w:rPr>
        <w:t xml:space="preserve">年政府性基金预算财政拨款年初结转和结余 </w:t>
      </w:r>
      <w:r>
        <w:rPr>
          <w:rFonts w:ascii="仿宋_GB2312" w:hAnsi="仿宋_GB2312"/>
          <w:sz w:val="32"/>
          <w:szCs w:val="32"/>
        </w:rPr>
        <w:t xml:space="preserve">0  </w:t>
      </w:r>
      <w:r>
        <w:rPr>
          <w:rFonts w:ascii="宋体" w:hAnsi="宋体"/>
          <w:sz w:val="32"/>
          <w:szCs w:val="32"/>
        </w:rPr>
        <w:t xml:space="preserve">万元，本年收入 </w:t>
      </w:r>
      <w:r>
        <w:rPr>
          <w:rFonts w:ascii="仿宋_GB2312" w:hAnsi="仿宋_GB2312"/>
          <w:sz w:val="32"/>
          <w:szCs w:val="32"/>
        </w:rPr>
        <w:t xml:space="preserve">0 </w:t>
      </w:r>
      <w:r>
        <w:rPr>
          <w:rFonts w:ascii="宋体" w:hAnsi="宋体"/>
          <w:sz w:val="32"/>
          <w:szCs w:val="32"/>
        </w:rPr>
        <w:t xml:space="preserve">万元，本年支出 </w:t>
      </w:r>
      <w:r>
        <w:rPr>
          <w:rFonts w:ascii="仿宋_GB2312" w:hAnsi="仿宋_GB2312"/>
          <w:sz w:val="32"/>
          <w:szCs w:val="32"/>
        </w:rPr>
        <w:t xml:space="preserve">0 </w:t>
      </w:r>
      <w:r>
        <w:rPr>
          <w:rFonts w:ascii="宋体" w:hAnsi="宋体"/>
          <w:sz w:val="32"/>
          <w:szCs w:val="32"/>
        </w:rPr>
        <w:t xml:space="preserve">万元，年末结转和结余 </w:t>
      </w:r>
      <w:r>
        <w:rPr>
          <w:rFonts w:ascii="仿宋_GB2312" w:hAnsi="仿宋_GB2312"/>
          <w:sz w:val="32"/>
          <w:szCs w:val="32"/>
        </w:rPr>
        <w:t xml:space="preserve">0  </w:t>
      </w:r>
      <w:r>
        <w:rPr>
          <w:rFonts w:ascii="宋体" w:hAnsi="宋体"/>
          <w:sz w:val="32"/>
          <w:szCs w:val="32"/>
        </w:rPr>
        <w:t>万元。</w:t>
      </w:r>
    </w:p>
    <w:p>
      <w:pPr>
        <w:spacing w:line="580" w:lineRule="exact"/>
        <w:ind w:firstLine="640" w:firstLineChars="200"/>
        <w:rPr>
          <w:rFonts w:hint="eastAsia" w:ascii="仿宋_GB2312" w:hAnsi="仿宋_GB2312"/>
          <w:sz w:val="32"/>
          <w:szCs w:val="32"/>
        </w:rPr>
      </w:pPr>
      <w:r>
        <w:rPr>
          <w:rFonts w:ascii="仿宋_GB2312" w:hAnsi="仿宋_GB2312"/>
          <w:sz w:val="32"/>
          <w:szCs w:val="32"/>
        </w:rPr>
        <w:t>2015</w:t>
      </w:r>
      <w:r>
        <w:rPr>
          <w:rFonts w:ascii="宋体" w:hAnsi="宋体"/>
          <w:sz w:val="32"/>
          <w:szCs w:val="32"/>
        </w:rPr>
        <w:t xml:space="preserve">年政府性基金支出决算为 </w:t>
      </w:r>
      <w:r>
        <w:rPr>
          <w:rFonts w:ascii="仿宋_GB2312" w:hAnsi="仿宋_GB2312"/>
          <w:sz w:val="32"/>
          <w:szCs w:val="32"/>
        </w:rPr>
        <w:t xml:space="preserve">0 </w:t>
      </w:r>
      <w:r>
        <w:rPr>
          <w:rFonts w:ascii="宋体" w:hAnsi="宋体"/>
          <w:sz w:val="32"/>
          <w:szCs w:val="32"/>
        </w:rPr>
        <w:t>万元。</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四、一般公共预算财政拨款“三公”经费支出决算情况</w:t>
      </w:r>
    </w:p>
    <w:p>
      <w:pPr>
        <w:spacing w:line="580" w:lineRule="exact"/>
        <w:ind w:firstLine="600"/>
        <w:rPr>
          <w:rFonts w:hint="eastAsia" w:ascii="楷体_GB2312" w:hAnsi="楷体_GB2312" w:eastAsia="宋体"/>
          <w:sz w:val="32"/>
          <w:szCs w:val="32"/>
        </w:rPr>
      </w:pPr>
      <w:r>
        <w:rPr>
          <w:rFonts w:ascii="宋体" w:hAnsi="宋体"/>
          <w:sz w:val="32"/>
          <w:szCs w:val="32"/>
        </w:rPr>
        <w:t>（一）</w:t>
      </w:r>
      <w:r>
        <w:rPr>
          <w:rFonts w:ascii="楷体_GB2312" w:hAnsi="楷体_GB2312"/>
          <w:sz w:val="32"/>
          <w:szCs w:val="32"/>
        </w:rPr>
        <w:t>“</w:t>
      </w:r>
      <w:r>
        <w:rPr>
          <w:rFonts w:ascii="宋体" w:hAnsi="宋体"/>
          <w:sz w:val="32"/>
          <w:szCs w:val="32"/>
        </w:rPr>
        <w:t>三公</w:t>
      </w:r>
      <w:r>
        <w:rPr>
          <w:rFonts w:ascii="楷体_GB2312" w:hAnsi="楷体_GB2312"/>
          <w:sz w:val="32"/>
          <w:szCs w:val="32"/>
        </w:rPr>
        <w:t>”</w:t>
      </w:r>
      <w:r>
        <w:rPr>
          <w:rFonts w:ascii="宋体" w:hAnsi="宋体"/>
          <w:sz w:val="32"/>
          <w:szCs w:val="32"/>
        </w:rPr>
        <w:t>经费财政拨款支出情况。</w:t>
      </w:r>
    </w:p>
    <w:p>
      <w:pPr>
        <w:spacing w:line="580" w:lineRule="exact"/>
        <w:ind w:firstLine="600"/>
        <w:rPr>
          <w:rFonts w:hint="eastAsia" w:ascii="仿宋_GB2312" w:hAnsi="仿宋_GB2312"/>
          <w:sz w:val="32"/>
          <w:szCs w:val="32"/>
        </w:rPr>
      </w:pPr>
      <w:r>
        <w:rPr>
          <w:rFonts w:ascii="仿宋_GB2312" w:hAnsi="仿宋_GB2312"/>
          <w:sz w:val="32"/>
          <w:szCs w:val="32"/>
        </w:rPr>
        <w:t>201</w:t>
      </w:r>
      <w:r>
        <w:rPr>
          <w:rFonts w:hint="eastAsia" w:ascii="仿宋_GB2312" w:hAnsi="仿宋_GB2312"/>
          <w:sz w:val="32"/>
          <w:szCs w:val="32"/>
        </w:rPr>
        <w:t>6</w:t>
      </w:r>
      <w:r>
        <w:rPr>
          <w:rFonts w:ascii="宋体" w:hAnsi="宋体"/>
          <w:sz w:val="32"/>
          <w:szCs w:val="32"/>
        </w:rPr>
        <w:t>年度，</w:t>
      </w:r>
      <w:r>
        <w:rPr>
          <w:rFonts w:ascii="宋体" w:hAnsi="宋体" w:cs="Courier New"/>
          <w:sz w:val="32"/>
          <w:szCs w:val="32"/>
        </w:rPr>
        <w:t>枣庄市商务局</w:t>
      </w:r>
      <w:r>
        <w:rPr>
          <w:rFonts w:ascii="仿宋_GB2312" w:hAnsi="仿宋_GB2312"/>
          <w:sz w:val="32"/>
          <w:szCs w:val="32"/>
        </w:rPr>
        <w:t>“</w:t>
      </w:r>
      <w:r>
        <w:rPr>
          <w:rFonts w:ascii="宋体" w:hAnsi="宋体"/>
          <w:sz w:val="32"/>
          <w:szCs w:val="32"/>
        </w:rPr>
        <w:t>三公</w:t>
      </w:r>
      <w:r>
        <w:rPr>
          <w:rFonts w:ascii="仿宋_GB2312" w:hAnsi="仿宋_GB2312"/>
          <w:sz w:val="32"/>
          <w:szCs w:val="32"/>
        </w:rPr>
        <w:t>”</w:t>
      </w:r>
      <w:r>
        <w:rPr>
          <w:rFonts w:ascii="宋体" w:hAnsi="宋体"/>
          <w:sz w:val="32"/>
          <w:szCs w:val="32"/>
        </w:rPr>
        <w:t xml:space="preserve">经费财政拨款支出决算数为  </w:t>
      </w:r>
      <w:r>
        <w:rPr>
          <w:rFonts w:hint="eastAsia" w:ascii="仿宋_GB2312" w:hAnsi="仿宋_GB2312"/>
          <w:sz w:val="32"/>
          <w:szCs w:val="32"/>
        </w:rPr>
        <w:t>30.95</w:t>
      </w:r>
      <w:r>
        <w:rPr>
          <w:rFonts w:ascii="仿宋_GB2312" w:hAnsi="仿宋_GB2312"/>
          <w:sz w:val="32"/>
          <w:szCs w:val="32"/>
        </w:rPr>
        <w:t xml:space="preserve">  </w:t>
      </w:r>
      <w:r>
        <w:rPr>
          <w:rFonts w:ascii="宋体" w:hAnsi="宋体"/>
          <w:sz w:val="32"/>
          <w:szCs w:val="32"/>
        </w:rPr>
        <w:t>万元（含厅（局）机关及</w:t>
      </w:r>
      <w:r>
        <w:rPr>
          <w:rFonts w:ascii="仿宋_GB2312" w:hAnsi="仿宋_GB2312"/>
          <w:sz w:val="32"/>
          <w:szCs w:val="32"/>
        </w:rPr>
        <w:t xml:space="preserve"> 3  </w:t>
      </w:r>
      <w:r>
        <w:rPr>
          <w:rFonts w:ascii="宋体" w:hAnsi="宋体"/>
          <w:sz w:val="32"/>
          <w:szCs w:val="32"/>
        </w:rPr>
        <w:t xml:space="preserve">个所属单位），比年初预算数减少 </w:t>
      </w:r>
      <w:r>
        <w:rPr>
          <w:rFonts w:hint="eastAsia" w:ascii="仿宋_GB2312" w:hAnsi="仿宋_GB2312"/>
          <w:sz w:val="32"/>
          <w:szCs w:val="32"/>
        </w:rPr>
        <w:t>19.05</w:t>
      </w:r>
      <w:r>
        <w:rPr>
          <w:rFonts w:ascii="宋体" w:hAnsi="宋体"/>
          <w:sz w:val="32"/>
          <w:szCs w:val="32"/>
        </w:rPr>
        <w:t>万元，主要原因是公务用车</w:t>
      </w:r>
      <w:r>
        <w:rPr>
          <w:rFonts w:hint="eastAsia" w:ascii="宋体" w:hAnsi="宋体"/>
          <w:sz w:val="32"/>
          <w:szCs w:val="32"/>
        </w:rPr>
        <w:t>改革</w:t>
      </w:r>
      <w:r>
        <w:rPr>
          <w:rFonts w:ascii="宋体" w:hAnsi="宋体"/>
          <w:sz w:val="32"/>
          <w:szCs w:val="32"/>
        </w:rPr>
        <w:t>，减少公务用车运行费用。其中：因公出国（境）费决算</w:t>
      </w:r>
      <w:r>
        <w:rPr>
          <w:rFonts w:ascii="仿宋_GB2312" w:hAnsi="仿宋_GB2312"/>
          <w:sz w:val="32"/>
          <w:szCs w:val="32"/>
        </w:rPr>
        <w:t xml:space="preserve">  2</w:t>
      </w:r>
      <w:r>
        <w:rPr>
          <w:rFonts w:hint="eastAsia" w:ascii="仿宋_GB2312" w:hAnsi="仿宋_GB2312"/>
          <w:sz w:val="32"/>
          <w:szCs w:val="32"/>
        </w:rPr>
        <w:t>6</w:t>
      </w:r>
      <w:r>
        <w:rPr>
          <w:rFonts w:ascii="仿宋_GB2312" w:hAnsi="仿宋_GB2312"/>
          <w:sz w:val="32"/>
          <w:szCs w:val="32"/>
        </w:rPr>
        <w:t xml:space="preserve">  </w:t>
      </w:r>
      <w:r>
        <w:rPr>
          <w:rFonts w:ascii="宋体" w:hAnsi="宋体"/>
          <w:sz w:val="32"/>
          <w:szCs w:val="32"/>
        </w:rPr>
        <w:t>万元，和年初预算持平，公务用车购置及运行维护费决算</w:t>
      </w:r>
      <w:r>
        <w:rPr>
          <w:rFonts w:ascii="仿宋_GB2312" w:hAnsi="仿宋_GB2312"/>
          <w:sz w:val="32"/>
          <w:szCs w:val="32"/>
        </w:rPr>
        <w:t xml:space="preserve">  </w:t>
      </w:r>
      <w:r>
        <w:rPr>
          <w:rFonts w:hint="eastAsia" w:ascii="仿宋_GB2312" w:hAnsi="仿宋_GB2312"/>
          <w:sz w:val="32"/>
          <w:szCs w:val="32"/>
        </w:rPr>
        <w:t>4.8</w:t>
      </w:r>
      <w:r>
        <w:rPr>
          <w:rFonts w:ascii="仿宋_GB2312" w:hAnsi="仿宋_GB2312"/>
          <w:sz w:val="32"/>
          <w:szCs w:val="32"/>
        </w:rPr>
        <w:t xml:space="preserve"> </w:t>
      </w:r>
      <w:r>
        <w:rPr>
          <w:rFonts w:ascii="宋体" w:hAnsi="宋体"/>
          <w:sz w:val="32"/>
          <w:szCs w:val="32"/>
        </w:rPr>
        <w:t>万元，比年初预算数减少</w:t>
      </w:r>
      <w:r>
        <w:rPr>
          <w:rFonts w:hint="eastAsia" w:ascii="仿宋_GB2312" w:hAnsi="仿宋_GB2312"/>
          <w:sz w:val="32"/>
          <w:szCs w:val="32"/>
        </w:rPr>
        <w:t>17.55</w:t>
      </w:r>
      <w:r>
        <w:rPr>
          <w:rFonts w:ascii="仿宋_GB2312" w:hAnsi="仿宋_GB2312"/>
          <w:sz w:val="32"/>
          <w:szCs w:val="32"/>
        </w:rPr>
        <w:t xml:space="preserve">   </w:t>
      </w:r>
      <w:r>
        <w:rPr>
          <w:rFonts w:ascii="宋体" w:hAnsi="宋体"/>
          <w:sz w:val="32"/>
          <w:szCs w:val="32"/>
        </w:rPr>
        <w:t>万元，；公务接待费决算</w:t>
      </w:r>
      <w:r>
        <w:rPr>
          <w:rFonts w:ascii="仿宋_GB2312" w:hAnsi="仿宋_GB2312"/>
          <w:sz w:val="32"/>
          <w:szCs w:val="32"/>
        </w:rPr>
        <w:t xml:space="preserve"> </w:t>
      </w:r>
      <w:r>
        <w:rPr>
          <w:rFonts w:hint="eastAsia" w:ascii="仿宋_GB2312" w:hAnsi="仿宋_GB2312"/>
          <w:sz w:val="32"/>
          <w:szCs w:val="32"/>
        </w:rPr>
        <w:t>2</w:t>
      </w:r>
      <w:r>
        <w:rPr>
          <w:rFonts w:ascii="宋体" w:hAnsi="宋体"/>
          <w:sz w:val="32"/>
          <w:szCs w:val="32"/>
        </w:rPr>
        <w:t>万元</w:t>
      </w:r>
      <w:r>
        <w:rPr>
          <w:rFonts w:hint="eastAsia" w:ascii="宋体" w:hAnsi="宋体"/>
          <w:sz w:val="32"/>
          <w:szCs w:val="32"/>
        </w:rPr>
        <w:t>。</w:t>
      </w:r>
    </w:p>
    <w:p>
      <w:pPr>
        <w:spacing w:line="580" w:lineRule="exact"/>
        <w:ind w:firstLine="600"/>
        <w:rPr>
          <w:rFonts w:hint="eastAsia" w:ascii="楷体_GB2312" w:hAnsi="楷体_GB2312"/>
          <w:sz w:val="32"/>
          <w:szCs w:val="32"/>
        </w:rPr>
      </w:pPr>
      <w:r>
        <w:rPr>
          <w:rFonts w:ascii="宋体" w:hAnsi="宋体"/>
          <w:sz w:val="32"/>
          <w:szCs w:val="32"/>
        </w:rPr>
        <w:t>（二）</w:t>
      </w:r>
      <w:r>
        <w:rPr>
          <w:rFonts w:ascii="楷体_GB2312" w:hAnsi="楷体_GB2312"/>
          <w:sz w:val="32"/>
          <w:szCs w:val="32"/>
        </w:rPr>
        <w:t>“</w:t>
      </w:r>
      <w:r>
        <w:rPr>
          <w:rFonts w:ascii="宋体" w:hAnsi="宋体"/>
          <w:sz w:val="32"/>
          <w:szCs w:val="32"/>
        </w:rPr>
        <w:t>三公</w:t>
      </w:r>
      <w:r>
        <w:rPr>
          <w:rFonts w:ascii="楷体_GB2312" w:hAnsi="楷体_GB2312"/>
          <w:sz w:val="32"/>
          <w:szCs w:val="32"/>
        </w:rPr>
        <w:t>”</w:t>
      </w:r>
      <w:r>
        <w:rPr>
          <w:rFonts w:ascii="宋体" w:hAnsi="宋体"/>
          <w:sz w:val="32"/>
          <w:szCs w:val="32"/>
        </w:rPr>
        <w:t>经费财政拨款支出决算具体情况。</w:t>
      </w:r>
    </w:p>
    <w:p>
      <w:pPr>
        <w:spacing w:line="580" w:lineRule="exact"/>
        <w:ind w:firstLine="600"/>
        <w:rPr>
          <w:rFonts w:ascii="仿宋_GB2312" w:hAnsi="仿宋_GB2312"/>
          <w:sz w:val="32"/>
          <w:szCs w:val="32"/>
        </w:rPr>
      </w:pPr>
      <w:r>
        <w:rPr>
          <w:rFonts w:ascii="仿宋_GB2312" w:hAnsi="仿宋_GB2312"/>
          <w:sz w:val="32"/>
          <w:szCs w:val="32"/>
        </w:rPr>
        <w:t>1</w:t>
      </w:r>
      <w:r>
        <w:rPr>
          <w:rFonts w:ascii="宋体" w:hAnsi="宋体"/>
          <w:sz w:val="32"/>
          <w:szCs w:val="32"/>
        </w:rPr>
        <w:t xml:space="preserve">、因公出国（境）费决算  </w:t>
      </w:r>
      <w:r>
        <w:rPr>
          <w:rFonts w:ascii="仿宋_GB2312" w:hAnsi="仿宋_GB2312"/>
          <w:sz w:val="32"/>
          <w:szCs w:val="32"/>
        </w:rPr>
        <w:t xml:space="preserve">26  </w:t>
      </w:r>
      <w:r>
        <w:rPr>
          <w:rFonts w:ascii="宋体" w:hAnsi="宋体"/>
          <w:sz w:val="32"/>
          <w:szCs w:val="32"/>
        </w:rPr>
        <w:t>万元。包括单位工作人员公务出国（境）的差旅费、伙食补助费、杂费、培训费等支出。</w:t>
      </w:r>
    </w:p>
    <w:p>
      <w:pPr>
        <w:spacing w:line="580" w:lineRule="exact"/>
        <w:ind w:left="160" w:leftChars="76" w:firstLine="595" w:firstLineChars="186"/>
        <w:rPr>
          <w:rFonts w:ascii="仿宋_GB2312" w:hAnsi="仿宋_GB2312"/>
          <w:sz w:val="32"/>
          <w:szCs w:val="32"/>
        </w:rPr>
      </w:pPr>
      <w:r>
        <w:rPr>
          <w:rFonts w:ascii="仿宋_GB2312" w:hAnsi="仿宋_GB2312"/>
          <w:sz w:val="32"/>
          <w:szCs w:val="32"/>
        </w:rPr>
        <w:t>2015</w:t>
      </w:r>
      <w:r>
        <w:rPr>
          <w:rFonts w:ascii="宋体" w:hAnsi="宋体"/>
          <w:sz w:val="32"/>
          <w:szCs w:val="32"/>
        </w:rPr>
        <w:t xml:space="preserve">年使用财政拨款安排 本 单位出国（境）团组  </w:t>
      </w:r>
      <w:r>
        <w:rPr>
          <w:rFonts w:ascii="仿宋_GB2312" w:hAnsi="仿宋_GB2312"/>
          <w:sz w:val="32"/>
          <w:szCs w:val="32"/>
        </w:rPr>
        <w:t xml:space="preserve">1   </w:t>
      </w:r>
      <w:r>
        <w:rPr>
          <w:rFonts w:ascii="宋体" w:hAnsi="宋体"/>
          <w:sz w:val="32"/>
          <w:szCs w:val="32"/>
        </w:rPr>
        <w:t xml:space="preserve">个、参加其他单位组织的出国（境）团组   </w:t>
      </w:r>
      <w:r>
        <w:rPr>
          <w:rFonts w:ascii="仿宋_GB2312" w:hAnsi="仿宋_GB2312"/>
          <w:sz w:val="32"/>
          <w:szCs w:val="32"/>
        </w:rPr>
        <w:t xml:space="preserve">4  </w:t>
      </w:r>
      <w:r>
        <w:rPr>
          <w:rFonts w:ascii="宋体" w:hAnsi="宋体"/>
          <w:sz w:val="32"/>
          <w:szCs w:val="32"/>
        </w:rPr>
        <w:t xml:space="preserve">个，全年因公出国（境）团组共计  </w:t>
      </w:r>
      <w:r>
        <w:rPr>
          <w:rFonts w:ascii="仿宋_GB2312" w:hAnsi="仿宋_GB2312"/>
          <w:sz w:val="32"/>
          <w:szCs w:val="32"/>
        </w:rPr>
        <w:t xml:space="preserve">5  </w:t>
      </w:r>
      <w:r>
        <w:rPr>
          <w:rFonts w:ascii="宋体" w:hAnsi="宋体"/>
          <w:sz w:val="32"/>
          <w:szCs w:val="32"/>
        </w:rPr>
        <w:t xml:space="preserve">个，累计  </w:t>
      </w:r>
      <w:r>
        <w:rPr>
          <w:rFonts w:ascii="仿宋_GB2312" w:hAnsi="仿宋_GB2312"/>
          <w:sz w:val="32"/>
          <w:szCs w:val="32"/>
        </w:rPr>
        <w:t xml:space="preserve">9  </w:t>
      </w:r>
      <w:r>
        <w:rPr>
          <w:rFonts w:ascii="宋体" w:hAnsi="宋体"/>
          <w:sz w:val="32"/>
          <w:szCs w:val="32"/>
        </w:rPr>
        <w:t>人次。</w:t>
      </w:r>
    </w:p>
    <w:p>
      <w:pPr>
        <w:spacing w:line="580" w:lineRule="exact"/>
        <w:ind w:firstLine="600"/>
        <w:rPr>
          <w:rFonts w:ascii="仿宋_GB2312" w:hAnsi="仿宋_GB2312"/>
          <w:sz w:val="32"/>
          <w:szCs w:val="32"/>
        </w:rPr>
      </w:pPr>
      <w:r>
        <w:rPr>
          <w:rFonts w:ascii="仿宋_GB2312" w:hAnsi="仿宋_GB2312"/>
          <w:sz w:val="32"/>
          <w:szCs w:val="32"/>
        </w:rPr>
        <w:t>2</w:t>
      </w:r>
      <w:r>
        <w:rPr>
          <w:rFonts w:ascii="宋体" w:hAnsi="宋体"/>
          <w:sz w:val="32"/>
          <w:szCs w:val="32"/>
        </w:rPr>
        <w:t xml:space="preserve">、公务用车购置及运行维护费决算 </w:t>
      </w:r>
      <w:r>
        <w:rPr>
          <w:rFonts w:hint="eastAsia" w:ascii="仿宋_GB2312" w:hAnsi="仿宋_GB2312"/>
          <w:sz w:val="32"/>
          <w:szCs w:val="32"/>
        </w:rPr>
        <w:t>4.8</w:t>
      </w:r>
      <w:r>
        <w:rPr>
          <w:rFonts w:ascii="仿宋_GB2312" w:hAnsi="仿宋_GB2312"/>
          <w:sz w:val="32"/>
          <w:szCs w:val="32"/>
        </w:rPr>
        <w:t xml:space="preserve"> </w:t>
      </w:r>
      <w:r>
        <w:rPr>
          <w:rFonts w:ascii="宋体" w:hAnsi="宋体"/>
          <w:sz w:val="32"/>
          <w:szCs w:val="32"/>
        </w:rPr>
        <w:t>万元。包括单位公务用车购置费及燃料费、维修费、过路过桥费、保险费等支出。其中：</w:t>
      </w:r>
    </w:p>
    <w:p>
      <w:pPr>
        <w:spacing w:line="580" w:lineRule="exact"/>
        <w:ind w:firstLine="600"/>
        <w:rPr>
          <w:rFonts w:ascii="仿宋_GB2312" w:hAnsi="仿宋_GB2312"/>
          <w:sz w:val="32"/>
          <w:szCs w:val="32"/>
        </w:rPr>
      </w:pPr>
      <w:r>
        <w:rPr>
          <w:rFonts w:ascii="仿宋_GB2312" w:hAnsi="仿宋_GB2312"/>
          <w:sz w:val="32"/>
          <w:szCs w:val="32"/>
        </w:rPr>
        <w:t>2015</w:t>
      </w:r>
      <w:r>
        <w:rPr>
          <w:rFonts w:ascii="宋体" w:hAnsi="宋体"/>
          <w:sz w:val="32"/>
          <w:szCs w:val="32"/>
        </w:rPr>
        <w:t xml:space="preserve">年市商务局财政拨款开支运行维护费的公务用车保有量为 </w:t>
      </w:r>
      <w:r>
        <w:rPr>
          <w:rFonts w:hint="eastAsia" w:ascii="仿宋_GB2312" w:hAnsi="仿宋_GB2312"/>
          <w:sz w:val="32"/>
          <w:szCs w:val="32"/>
        </w:rPr>
        <w:t>2</w:t>
      </w:r>
      <w:r>
        <w:rPr>
          <w:rFonts w:ascii="仿宋_GB2312" w:hAnsi="仿宋_GB2312"/>
          <w:sz w:val="32"/>
          <w:szCs w:val="32"/>
        </w:rPr>
        <w:t xml:space="preserve">  </w:t>
      </w:r>
      <w:r>
        <w:rPr>
          <w:rFonts w:ascii="宋体" w:hAnsi="宋体"/>
          <w:sz w:val="32"/>
          <w:szCs w:val="32"/>
        </w:rPr>
        <w:t>辆。</w:t>
      </w:r>
    </w:p>
    <w:p>
      <w:pPr>
        <w:spacing w:line="580" w:lineRule="exact"/>
        <w:ind w:firstLine="601"/>
        <w:rPr>
          <w:rFonts w:ascii="仿宋_GB2312" w:hAnsi="仿宋_GB2312"/>
          <w:sz w:val="32"/>
          <w:szCs w:val="32"/>
        </w:rPr>
      </w:pPr>
      <w:r>
        <w:rPr>
          <w:rFonts w:ascii="仿宋_GB2312" w:hAnsi="仿宋_GB2312"/>
          <w:sz w:val="32"/>
          <w:szCs w:val="32"/>
        </w:rPr>
        <w:t>3</w:t>
      </w:r>
      <w:r>
        <w:rPr>
          <w:rFonts w:ascii="宋体" w:hAnsi="宋体"/>
          <w:sz w:val="32"/>
          <w:szCs w:val="32"/>
        </w:rPr>
        <w:t xml:space="preserve">、公务接待费决算  </w:t>
      </w:r>
      <w:r>
        <w:rPr>
          <w:rFonts w:hint="eastAsia" w:ascii="仿宋_GB2312" w:hAnsi="仿宋_GB2312"/>
          <w:sz w:val="32"/>
          <w:szCs w:val="32"/>
        </w:rPr>
        <w:t>2</w:t>
      </w:r>
      <w:r>
        <w:rPr>
          <w:rFonts w:ascii="宋体" w:hAnsi="宋体"/>
          <w:sz w:val="32"/>
          <w:szCs w:val="32"/>
        </w:rPr>
        <w:t>万元。包括单位按规定开支的各类公务接待（含外宾接待）支出。其中：</w:t>
      </w:r>
    </w:p>
    <w:p>
      <w:pPr>
        <w:spacing w:line="580" w:lineRule="exact"/>
        <w:ind w:firstLine="601"/>
        <w:rPr>
          <w:rFonts w:ascii="仿宋_GB2312" w:hAnsi="仿宋_GB2312"/>
          <w:sz w:val="32"/>
          <w:szCs w:val="32"/>
        </w:rPr>
      </w:pPr>
      <w:r>
        <w:rPr>
          <w:rFonts w:ascii="仿宋_GB2312" w:hAnsi="仿宋_GB2312"/>
          <w:sz w:val="32"/>
          <w:szCs w:val="32"/>
        </w:rPr>
        <w:t>2015</w:t>
      </w:r>
      <w:r>
        <w:rPr>
          <w:rFonts w:ascii="宋体" w:hAnsi="宋体"/>
          <w:sz w:val="32"/>
          <w:szCs w:val="32"/>
        </w:rPr>
        <w:t xml:space="preserve">年公务接待全部为国内公务接待，主要用于接待上级部门、兄弟地市有关政策督导、检查、调研、观摩，接待  </w:t>
      </w:r>
      <w:r>
        <w:rPr>
          <w:rFonts w:hint="eastAsia" w:ascii="仿宋_GB2312" w:hAnsi="仿宋_GB2312"/>
          <w:sz w:val="32"/>
          <w:szCs w:val="32"/>
        </w:rPr>
        <w:t>15</w:t>
      </w:r>
      <w:r>
        <w:rPr>
          <w:rFonts w:ascii="仿宋_GB2312" w:hAnsi="仿宋_GB2312"/>
          <w:sz w:val="32"/>
          <w:szCs w:val="32"/>
        </w:rPr>
        <w:t xml:space="preserve">  </w:t>
      </w:r>
      <w:r>
        <w:rPr>
          <w:rFonts w:ascii="宋体" w:hAnsi="宋体"/>
          <w:sz w:val="32"/>
          <w:szCs w:val="32"/>
        </w:rPr>
        <w:t>批次、</w:t>
      </w:r>
      <w:r>
        <w:rPr>
          <w:rFonts w:ascii="仿宋_GB2312" w:hAnsi="仿宋_GB2312"/>
          <w:sz w:val="32"/>
          <w:szCs w:val="32"/>
        </w:rPr>
        <w:t xml:space="preserve"> </w:t>
      </w:r>
      <w:r>
        <w:rPr>
          <w:rFonts w:hint="eastAsia" w:ascii="仿宋_GB2312" w:hAnsi="仿宋_GB2312"/>
          <w:sz w:val="32"/>
          <w:szCs w:val="32"/>
        </w:rPr>
        <w:t>34</w:t>
      </w:r>
      <w:r>
        <w:rPr>
          <w:rFonts w:ascii="仿宋_GB2312" w:hAnsi="仿宋_GB2312"/>
          <w:sz w:val="32"/>
          <w:szCs w:val="32"/>
        </w:rPr>
        <w:t xml:space="preserve"> </w:t>
      </w:r>
      <w:r>
        <w:rPr>
          <w:rFonts w:ascii="宋体" w:hAnsi="宋体"/>
          <w:sz w:val="32"/>
          <w:szCs w:val="32"/>
        </w:rPr>
        <w:t>人次。</w:t>
      </w:r>
    </w:p>
    <w:p>
      <w:pPr>
        <w:spacing w:line="580" w:lineRule="exact"/>
        <w:ind w:firstLine="601"/>
        <w:rPr>
          <w:rFonts w:ascii="黑体" w:hAnsi="黑体" w:eastAsia="黑体"/>
          <w:sz w:val="32"/>
          <w:szCs w:val="32"/>
        </w:rPr>
      </w:pPr>
      <w:r>
        <w:rPr>
          <w:rFonts w:hint="eastAsia" w:ascii="黑体" w:hAnsi="黑体" w:eastAsia="黑体"/>
          <w:sz w:val="32"/>
          <w:szCs w:val="32"/>
        </w:rPr>
        <w:t>五、机关运行经费支出情况</w:t>
      </w:r>
    </w:p>
    <w:p>
      <w:pPr>
        <w:rPr>
          <w:rFonts w:hint="eastAsia" w:ascii="宋体" w:hAnsi="宋体"/>
          <w:kern w:val="0"/>
          <w:sz w:val="32"/>
          <w:szCs w:val="32"/>
        </w:rPr>
      </w:pPr>
      <w:r>
        <w:rPr>
          <w:rFonts w:hint="eastAsia" w:ascii="仿宋_GB2312" w:hAnsi="仿宋"/>
          <w:kern w:val="0"/>
          <w:sz w:val="32"/>
          <w:szCs w:val="32"/>
        </w:rPr>
        <w:t xml:space="preserve">  </w:t>
      </w:r>
      <w:r>
        <w:rPr>
          <w:rFonts w:ascii="宋体" w:hAnsi="宋体" w:cs="宋体"/>
          <w:kern w:val="0"/>
          <w:sz w:val="32"/>
          <w:szCs w:val="32"/>
        </w:rPr>
        <w:t>主要原因是：</w:t>
      </w:r>
      <w:r>
        <w:rPr>
          <w:rFonts w:hint="eastAsia" w:ascii="宋体" w:hAnsi="宋体"/>
          <w:kern w:val="0"/>
          <w:sz w:val="32"/>
          <w:szCs w:val="32"/>
        </w:rPr>
        <w:t>公务车辆车改，减少了车辆费用。</w:t>
      </w:r>
    </w:p>
    <w:p>
      <w:pPr>
        <w:spacing w:beforeLines="0" w:afterLines="0"/>
        <w:jc w:val="left"/>
        <w:rPr>
          <w:rFonts w:hint="eastAsia" w:asciiTheme="majorEastAsia" w:hAnsiTheme="majorEastAsia" w:eastAsiaTheme="majorEastAsia" w:cstheme="majorEastAsia"/>
          <w:color w:val="000000"/>
          <w:sz w:val="30"/>
          <w:szCs w:val="30"/>
        </w:rPr>
      </w:pPr>
      <w:r>
        <w:rPr>
          <w:rFonts w:hint="eastAsia" w:ascii="楷体" w:hAnsi="楷体" w:eastAsia="楷体"/>
          <w:color w:val="000000"/>
          <w:sz w:val="32"/>
        </w:rPr>
        <w:t>（</w:t>
      </w:r>
      <w:r>
        <w:rPr>
          <w:rFonts w:hint="eastAsia" w:asciiTheme="majorEastAsia" w:hAnsiTheme="majorEastAsia" w:eastAsiaTheme="majorEastAsia" w:cstheme="majorEastAsia"/>
          <w:color w:val="000000"/>
          <w:sz w:val="30"/>
          <w:szCs w:val="30"/>
        </w:rPr>
        <w:t xml:space="preserve">一）机关运行经费支出情况说明 </w:t>
      </w:r>
    </w:p>
    <w:p>
      <w:pPr>
        <w:spacing w:beforeLines="0" w:afterLines="0"/>
        <w:jc w:val="left"/>
        <w:rPr>
          <w:rFonts w:hint="eastAsia"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kern w:val="0"/>
          <w:sz w:val="30"/>
          <w:szCs w:val="30"/>
        </w:rPr>
        <w:t>2016年本部门机关运行经费支出 74.65 万元，比2015减少 20 万元</w:t>
      </w:r>
      <w:r>
        <w:rPr>
          <w:rFonts w:hint="eastAsia" w:asciiTheme="majorEastAsia" w:hAnsiTheme="majorEastAsia" w:eastAsiaTheme="majorEastAsia" w:cstheme="majorEastAsia"/>
          <w:kern w:val="0"/>
          <w:sz w:val="30"/>
          <w:szCs w:val="30"/>
          <w:lang w:eastAsia="zh-CN"/>
        </w:rPr>
        <w:t>，</w:t>
      </w:r>
      <w:r>
        <w:rPr>
          <w:rFonts w:hint="eastAsia" w:asciiTheme="majorEastAsia" w:hAnsiTheme="majorEastAsia" w:eastAsiaTheme="majorEastAsia" w:cstheme="majorEastAsia"/>
          <w:color w:val="000000"/>
          <w:sz w:val="30"/>
          <w:szCs w:val="30"/>
        </w:rPr>
        <w:t>减少</w:t>
      </w:r>
      <w:r>
        <w:rPr>
          <w:rFonts w:hint="eastAsia" w:asciiTheme="majorEastAsia" w:hAnsiTheme="majorEastAsia" w:eastAsiaTheme="majorEastAsia" w:cstheme="majorEastAsia"/>
          <w:color w:val="000000"/>
          <w:sz w:val="30"/>
          <w:szCs w:val="30"/>
          <w:lang w:val="en-US" w:eastAsia="zh-CN"/>
        </w:rPr>
        <w:t>22</w:t>
      </w:r>
      <w:r>
        <w:rPr>
          <w:rFonts w:hint="eastAsia" w:asciiTheme="majorEastAsia" w:hAnsiTheme="majorEastAsia" w:eastAsiaTheme="majorEastAsia" w:cstheme="majorEastAsia"/>
          <w:color w:val="000000"/>
          <w:sz w:val="30"/>
          <w:szCs w:val="30"/>
        </w:rPr>
        <w:t>%，</w:t>
      </w:r>
      <w:r>
        <w:rPr>
          <w:rFonts w:hint="eastAsia" w:asciiTheme="majorEastAsia" w:hAnsiTheme="majorEastAsia" w:eastAsiaTheme="majorEastAsia" w:cstheme="majorEastAsia"/>
          <w:color w:val="000000"/>
          <w:sz w:val="30"/>
          <w:szCs w:val="30"/>
          <w:lang w:eastAsia="zh-CN"/>
        </w:rPr>
        <w:t>主要是公车减少。</w:t>
      </w:r>
      <w:r>
        <w:rPr>
          <w:rFonts w:hint="eastAsia" w:asciiTheme="majorEastAsia" w:hAnsiTheme="majorEastAsia" w:eastAsiaTheme="majorEastAsia" w:cstheme="majorEastAsia"/>
          <w:color w:val="000000"/>
          <w:sz w:val="30"/>
          <w:szCs w:val="30"/>
        </w:rPr>
        <w:t xml:space="preserve"> </w:t>
      </w:r>
    </w:p>
    <w:p>
      <w:pPr>
        <w:spacing w:beforeLines="0" w:afterLines="0"/>
        <w:jc w:val="left"/>
        <w:rPr>
          <w:rFonts w:hint="eastAsia"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 xml:space="preserve">（二）政府采购支出情况说明 </w:t>
      </w:r>
    </w:p>
    <w:p>
      <w:pPr>
        <w:spacing w:beforeLines="0" w:afterLines="0"/>
        <w:jc w:val="left"/>
        <w:rPr>
          <w:rFonts w:hint="eastAsia"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2016年本部门政府采购金额</w:t>
      </w:r>
      <w:r>
        <w:rPr>
          <w:rFonts w:hint="eastAsia" w:asciiTheme="majorEastAsia" w:hAnsiTheme="majorEastAsia" w:eastAsiaTheme="majorEastAsia" w:cstheme="majorEastAsia"/>
          <w:color w:val="000000"/>
          <w:sz w:val="30"/>
          <w:szCs w:val="30"/>
          <w:lang w:val="en-US" w:eastAsia="zh-CN"/>
        </w:rPr>
        <w:t xml:space="preserve"> 3.1</w:t>
      </w:r>
      <w:r>
        <w:rPr>
          <w:rFonts w:hint="eastAsia" w:asciiTheme="majorEastAsia" w:hAnsiTheme="majorEastAsia" w:eastAsiaTheme="majorEastAsia" w:cstheme="majorEastAsia"/>
          <w:color w:val="000000"/>
          <w:sz w:val="30"/>
          <w:szCs w:val="30"/>
        </w:rPr>
        <w:t>万元，其中：政府采购货物金额3.</w:t>
      </w:r>
      <w:r>
        <w:rPr>
          <w:rFonts w:hint="eastAsia" w:asciiTheme="majorEastAsia" w:hAnsiTheme="majorEastAsia" w:eastAsiaTheme="majorEastAsia" w:cstheme="majorEastAsia"/>
          <w:color w:val="000000"/>
          <w:sz w:val="30"/>
          <w:szCs w:val="30"/>
          <w:lang w:val="en-US" w:eastAsia="zh-CN"/>
        </w:rPr>
        <w:t>1万</w:t>
      </w:r>
      <w:r>
        <w:rPr>
          <w:rFonts w:hint="eastAsia" w:asciiTheme="majorEastAsia" w:hAnsiTheme="majorEastAsia" w:eastAsiaTheme="majorEastAsia" w:cstheme="majorEastAsia"/>
          <w:color w:val="000000"/>
          <w:sz w:val="30"/>
          <w:szCs w:val="30"/>
        </w:rPr>
        <w:t>元</w:t>
      </w:r>
    </w:p>
    <w:p>
      <w:pPr>
        <w:spacing w:beforeLines="0" w:afterLines="0"/>
        <w:jc w:val="left"/>
        <w:rPr>
          <w:rFonts w:hint="eastAsia"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 xml:space="preserve">（三）国有资产占用情况说明 </w:t>
      </w:r>
    </w:p>
    <w:p>
      <w:pPr>
        <w:rPr>
          <w:rFonts w:hint="eastAsia" w:asciiTheme="majorEastAsia" w:hAnsiTheme="majorEastAsia" w:eastAsiaTheme="majorEastAsia" w:cstheme="majorEastAsia"/>
          <w:kern w:val="0"/>
          <w:sz w:val="30"/>
          <w:szCs w:val="30"/>
        </w:rPr>
      </w:pPr>
      <w:r>
        <w:rPr>
          <w:rFonts w:hint="eastAsia" w:asciiTheme="majorEastAsia" w:hAnsiTheme="majorEastAsia" w:eastAsiaTheme="majorEastAsia" w:cstheme="majorEastAsia"/>
          <w:color w:val="000000"/>
          <w:sz w:val="30"/>
          <w:szCs w:val="30"/>
        </w:rPr>
        <w:t>截至2016年底，本部门共有车辆</w:t>
      </w:r>
      <w:r>
        <w:rPr>
          <w:rFonts w:hint="eastAsia" w:asciiTheme="majorEastAsia" w:hAnsiTheme="majorEastAsia" w:eastAsiaTheme="majorEastAsia" w:cstheme="majorEastAsia"/>
          <w:color w:val="000000"/>
          <w:sz w:val="30"/>
          <w:szCs w:val="30"/>
          <w:lang w:val="en-US" w:eastAsia="zh-CN"/>
        </w:rPr>
        <w:t>2</w:t>
      </w:r>
      <w:r>
        <w:rPr>
          <w:rFonts w:hint="eastAsia" w:asciiTheme="majorEastAsia" w:hAnsiTheme="majorEastAsia" w:eastAsiaTheme="majorEastAsia" w:cstheme="majorEastAsia"/>
          <w:color w:val="000000"/>
          <w:sz w:val="30"/>
          <w:szCs w:val="30"/>
        </w:rPr>
        <w:t xml:space="preserve">辆，其中，公务用车 </w:t>
      </w:r>
      <w:r>
        <w:rPr>
          <w:rFonts w:hint="eastAsia" w:asciiTheme="majorEastAsia" w:hAnsiTheme="majorEastAsia" w:eastAsiaTheme="majorEastAsia" w:cstheme="majorEastAsia"/>
          <w:color w:val="000000"/>
          <w:sz w:val="30"/>
          <w:szCs w:val="30"/>
          <w:lang w:val="en-US" w:eastAsia="zh-CN"/>
        </w:rPr>
        <w:t>1</w:t>
      </w:r>
      <w:r>
        <w:rPr>
          <w:rFonts w:hint="eastAsia" w:asciiTheme="majorEastAsia" w:hAnsiTheme="majorEastAsia" w:eastAsiaTheme="majorEastAsia" w:cstheme="majorEastAsia"/>
          <w:color w:val="000000"/>
          <w:sz w:val="30"/>
          <w:szCs w:val="30"/>
        </w:rPr>
        <w:t>辆、一般执法执勤用车</w:t>
      </w:r>
      <w:r>
        <w:rPr>
          <w:rFonts w:hint="eastAsia" w:asciiTheme="majorEastAsia" w:hAnsiTheme="majorEastAsia" w:eastAsiaTheme="majorEastAsia" w:cstheme="majorEastAsia"/>
          <w:color w:val="000000"/>
          <w:sz w:val="30"/>
          <w:szCs w:val="30"/>
          <w:lang w:val="en-US" w:eastAsia="zh-CN"/>
        </w:rPr>
        <w:t>1</w:t>
      </w:r>
      <w:r>
        <w:rPr>
          <w:rFonts w:hint="eastAsia" w:asciiTheme="majorEastAsia" w:hAnsiTheme="majorEastAsia" w:eastAsiaTheme="majorEastAsia" w:cstheme="majorEastAsia"/>
          <w:color w:val="000000"/>
          <w:sz w:val="30"/>
          <w:szCs w:val="30"/>
        </w:rPr>
        <w:t xml:space="preserve">辆。 </w:t>
      </w: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黑体" w:eastAsia="黑体"/>
          <w:sz w:val="52"/>
          <w:szCs w:val="52"/>
        </w:rPr>
      </w:pPr>
      <w:bookmarkStart w:id="0" w:name="_GoBack"/>
      <w:bookmarkEnd w:id="0"/>
      <w:r>
        <w:rPr>
          <w:rFonts w:hint="eastAsia" w:asciiTheme="majorEastAsia" w:hAnsiTheme="majorEastAsia" w:eastAsiaTheme="majorEastAsia" w:cstheme="majorEastAsia"/>
          <w:sz w:val="30"/>
          <w:szCs w:val="30"/>
        </w:rPr>
        <w:t xml:space="preserve"> </w:t>
      </w:r>
      <w:r>
        <w:rPr>
          <w:rFonts w:hint="eastAsia" w:ascii="黑体" w:eastAsia="黑体"/>
          <w:sz w:val="52"/>
          <w:szCs w:val="52"/>
        </w:rPr>
        <w:t>第四部分</w:t>
      </w: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p>
    <w:p>
      <w:pPr>
        <w:jc w:val="center"/>
        <w:rPr>
          <w:rFonts w:hint="eastAsia" w:ascii="黑体" w:eastAsia="黑体"/>
          <w:sz w:val="52"/>
          <w:szCs w:val="52"/>
        </w:rPr>
      </w:pPr>
      <w:r>
        <w:rPr>
          <w:rFonts w:hint="eastAsia" w:ascii="黑体" w:eastAsia="黑体"/>
          <w:sz w:val="52"/>
          <w:szCs w:val="52"/>
        </w:rPr>
        <w:t>名词解释</w:t>
      </w: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1"/>
        <w:rPr>
          <w:rFonts w:hint="eastAsia" w:ascii="黑体" w:hAnsi="黑体" w:eastAsia="黑体"/>
          <w:sz w:val="32"/>
          <w:szCs w:val="32"/>
        </w:rPr>
      </w:pPr>
    </w:p>
    <w:p>
      <w:pPr>
        <w:spacing w:line="580" w:lineRule="exact"/>
        <w:ind w:firstLine="600"/>
        <w:rPr>
          <w:rFonts w:hint="eastAsia" w:ascii="仿宋_GB2312" w:eastAsia="仿宋_GB2312"/>
          <w:sz w:val="32"/>
          <w:szCs w:val="32"/>
        </w:rPr>
      </w:pPr>
      <w:r>
        <w:rPr>
          <w:rFonts w:hint="eastAsia" w:ascii="仿宋_GB2312" w:hAnsi="黑体" w:eastAsia="仿宋_GB2312"/>
          <w:color w:val="000000"/>
          <w:sz w:val="32"/>
          <w:szCs w:val="32"/>
        </w:rPr>
        <w:t>一、财政拨款收入：</w:t>
      </w:r>
      <w:r>
        <w:rPr>
          <w:rFonts w:hint="eastAsia" w:ascii="仿宋_GB2312" w:eastAsia="仿宋_GB2312"/>
          <w:sz w:val="32"/>
          <w:szCs w:val="32"/>
        </w:rPr>
        <w:t>指由市级财政当年拨付的资金。按现行管理制度，市级部门决算中反映的财政拨款包括一般公共预算财政拨款和政府性基金财政拨款。</w:t>
      </w:r>
    </w:p>
    <w:p>
      <w:pPr>
        <w:spacing w:line="58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二、上级补助收入：</w:t>
      </w:r>
      <w:r>
        <w:rPr>
          <w:rFonts w:hint="eastAsia" w:ascii="仿宋_GB2312" w:hAnsi="仿宋" w:eastAsia="仿宋_GB2312"/>
          <w:sz w:val="32"/>
          <w:szCs w:val="32"/>
        </w:rPr>
        <w:t>指事业单位从主管部门和上级单位取得的非财政补助收入。</w:t>
      </w:r>
    </w:p>
    <w:p>
      <w:pPr>
        <w:spacing w:line="58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spacing w:line="58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spacing w:line="58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五、附属单位上缴收入：</w:t>
      </w:r>
      <w:r>
        <w:rPr>
          <w:rFonts w:hint="eastAsia" w:ascii="仿宋_GB2312" w:hAnsi="仿宋" w:eastAsia="仿宋_GB2312"/>
          <w:sz w:val="32"/>
          <w:szCs w:val="32"/>
        </w:rPr>
        <w:t>指事业单位附属独立核算单位按照有关规定上缴的收入。</w:t>
      </w:r>
    </w:p>
    <w:p>
      <w:pPr>
        <w:spacing w:line="58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六、其他收入：</w:t>
      </w:r>
      <w:r>
        <w:rPr>
          <w:rFonts w:hint="eastAsia" w:ascii="仿宋_GB2312" w:hAnsi="仿宋" w:eastAsia="仿宋_GB2312"/>
          <w:sz w:val="32"/>
          <w:szCs w:val="32"/>
        </w:rPr>
        <w:t>指单位取得的除上述“</w:t>
      </w:r>
      <w:r>
        <w:rPr>
          <w:rFonts w:hint="eastAsia" w:ascii="仿宋_GB2312"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spacing w:line="580" w:lineRule="exact"/>
        <w:ind w:firstLine="600"/>
        <w:rPr>
          <w:rFonts w:hint="eastAsia" w:ascii="仿宋_GB2312" w:eastAsia="仿宋_GB2312"/>
          <w:sz w:val="32"/>
          <w:szCs w:val="32"/>
        </w:rPr>
      </w:pPr>
      <w:r>
        <w:rPr>
          <w:rFonts w:hint="eastAsia" w:ascii="仿宋_GB2312" w:hAnsi="黑体" w:eastAsia="仿宋_GB2312"/>
          <w:sz w:val="32"/>
          <w:szCs w:val="32"/>
        </w:rPr>
        <w:t>七、用事业基金弥补收支差额：</w:t>
      </w:r>
      <w:r>
        <w:rPr>
          <w:rFonts w:hint="eastAsia" w:ascii="仿宋_GB2312" w:eastAsia="仿宋_GB2312"/>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spacing w:line="580" w:lineRule="exact"/>
        <w:ind w:firstLine="600"/>
        <w:rPr>
          <w:rFonts w:hint="eastAsia" w:ascii="仿宋_GB2312" w:eastAsia="仿宋_GB2312"/>
          <w:sz w:val="32"/>
          <w:szCs w:val="32"/>
        </w:rPr>
      </w:pPr>
      <w:r>
        <w:rPr>
          <w:rFonts w:hint="eastAsia" w:ascii="仿宋_GB2312" w:hAnsi="黑体" w:eastAsia="仿宋_GB2312"/>
          <w:sz w:val="32"/>
          <w:szCs w:val="32"/>
        </w:rPr>
        <w:t>八、年初结转和结余：</w:t>
      </w:r>
      <w:r>
        <w:rPr>
          <w:rFonts w:hint="eastAsia" w:ascii="仿宋_GB2312" w:eastAsia="仿宋_GB2312"/>
          <w:sz w:val="32"/>
          <w:szCs w:val="32"/>
        </w:rPr>
        <w:t>指以前年度尚未完成、结转到本年仍按原规定用途继续使用的资金，或项目已完成等产生的结余资金。</w:t>
      </w:r>
    </w:p>
    <w:p>
      <w:pPr>
        <w:spacing w:line="58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九、结余分配：</w:t>
      </w:r>
      <w:r>
        <w:rPr>
          <w:rFonts w:hint="eastAsia" w:ascii="仿宋_GB2312" w:hAnsi="仿宋" w:eastAsia="仿宋_GB2312"/>
          <w:sz w:val="32"/>
          <w:szCs w:val="32"/>
        </w:rPr>
        <w:t>指事业单位按照《事业单位会计制度》的规定从非财政补助结余中分配的事业基金和职工福利基金等。</w:t>
      </w:r>
    </w:p>
    <w:p>
      <w:pPr>
        <w:spacing w:line="58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十、年末结转和结余：</w:t>
      </w:r>
      <w:r>
        <w:rPr>
          <w:rFonts w:hint="eastAsia" w:ascii="仿宋_GB2312" w:hAnsi="仿宋" w:eastAsia="仿宋_GB2312"/>
          <w:sz w:val="32"/>
          <w:szCs w:val="32"/>
        </w:rPr>
        <w:t>指单位按照有关规定结转到下年继续使用的资金，或项目已完成等产生的结余资金。</w:t>
      </w:r>
    </w:p>
    <w:p>
      <w:pPr>
        <w:spacing w:line="580" w:lineRule="exact"/>
        <w:ind w:firstLine="600"/>
        <w:rPr>
          <w:rFonts w:hint="eastAsia" w:ascii="仿宋_GB2312" w:eastAsia="仿宋_GB2312"/>
          <w:sz w:val="32"/>
          <w:szCs w:val="32"/>
        </w:rPr>
      </w:pPr>
      <w:r>
        <w:rPr>
          <w:rFonts w:hint="eastAsia" w:ascii="仿宋_GB2312" w:hAnsi="黑体" w:eastAsia="仿宋_GB2312"/>
          <w:sz w:val="32"/>
          <w:szCs w:val="32"/>
        </w:rPr>
        <w:t>十一、基本支出：</w:t>
      </w:r>
      <w:r>
        <w:rPr>
          <w:rFonts w:hint="eastAsia" w:ascii="仿宋_GB2312" w:eastAsia="仿宋_GB2312"/>
          <w:sz w:val="32"/>
          <w:szCs w:val="32"/>
        </w:rPr>
        <w:t>指单位为保障其机构正常运转、完成日常工作任务而发生的各项支出。</w:t>
      </w:r>
    </w:p>
    <w:p>
      <w:pPr>
        <w:spacing w:line="580" w:lineRule="exact"/>
        <w:ind w:firstLine="600"/>
        <w:rPr>
          <w:rFonts w:hint="eastAsia" w:ascii="仿宋_GB2312" w:eastAsia="仿宋_GB2312"/>
          <w:sz w:val="32"/>
          <w:szCs w:val="32"/>
        </w:rPr>
      </w:pPr>
      <w:r>
        <w:rPr>
          <w:rFonts w:hint="eastAsia" w:ascii="仿宋_GB2312" w:hAnsi="黑体" w:eastAsia="仿宋_GB2312"/>
          <w:sz w:val="32"/>
          <w:szCs w:val="32"/>
        </w:rPr>
        <w:t>十二、项目支出：</w:t>
      </w:r>
      <w:r>
        <w:rPr>
          <w:rFonts w:hint="eastAsia" w:ascii="仿宋_GB2312" w:eastAsia="仿宋_GB2312"/>
          <w:sz w:val="32"/>
          <w:szCs w:val="32"/>
        </w:rPr>
        <w:t>指单位在基本支出之外为完成特定的工作任务或事业发展目标所发生的支出。</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黑体" w:eastAsia="仿宋_GB2312"/>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spacing w:line="580" w:lineRule="exact"/>
        <w:ind w:firstLine="600"/>
        <w:rPr>
          <w:rFonts w:hint="eastAsia" w:ascii="仿宋_GB2312" w:eastAsia="仿宋_GB2312"/>
          <w:sz w:val="32"/>
          <w:szCs w:val="32"/>
        </w:rPr>
      </w:pPr>
      <w:r>
        <w:rPr>
          <w:rFonts w:hint="eastAsia" w:ascii="仿宋_GB2312" w:hAnsi="黑体" w:eastAsia="仿宋_GB2312"/>
          <w:sz w:val="32"/>
          <w:szCs w:val="32"/>
        </w:rPr>
        <w:t>十四、“三公”经费：</w:t>
      </w:r>
      <w:r>
        <w:rPr>
          <w:rFonts w:hint="eastAsia" w:ascii="仿宋_GB2312" w:eastAsia="仿宋_GB2312"/>
          <w:sz w:val="32"/>
          <w:szCs w:val="32"/>
        </w:rPr>
        <w:t>指市级部门用财政拨款安排的因公出国（境）费、公务用车购置及运行费和公务接待费。其中，因公出国（境）费反映单位公务出国（境）的差旅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pPr>
        <w:spacing w:line="580" w:lineRule="exact"/>
        <w:ind w:firstLine="601"/>
        <w:rPr>
          <w:rFonts w:hint="eastAsia" w:ascii="黑体" w:hAnsi="黑体" w:eastAsia="黑体"/>
          <w:sz w:val="32"/>
          <w:szCs w:val="32"/>
        </w:rPr>
      </w:pPr>
      <w:r>
        <w:rPr>
          <w:rFonts w:hint="eastAsia" w:ascii="仿宋_GB2312" w:hAnsi="黑体" w:eastAsia="仿宋_GB2312"/>
          <w:sz w:val="32"/>
          <w:szCs w:val="32"/>
        </w:rPr>
        <w:t>十五、机关运行经费：</w:t>
      </w:r>
      <w:r>
        <w:rPr>
          <w:rFonts w:hint="eastAsia" w:ascii="仿宋_GB2312" w:eastAsia="仿宋_GB2312"/>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pPr>
        <w:rPr>
          <w:rFonts w:hint="eastAsia" w:asciiTheme="majorEastAsia" w:hAnsiTheme="majorEastAsia" w:eastAsiaTheme="majorEastAsia" w:cstheme="majorEastAsia"/>
          <w:sz w:val="30"/>
          <w:szCs w:val="30"/>
        </w:rPr>
      </w:pPr>
    </w:p>
    <w:p>
      <w:pPr>
        <w:rPr>
          <w:rFonts w:hint="eastAsia" w:ascii="仿宋" w:hAnsi="仿宋" w:eastAsia="仿宋" w:cs="仿宋"/>
          <w:sz w:val="30"/>
          <w:szCs w:val="30"/>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星简大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70F9A"/>
    <w:rsid w:val="001037CC"/>
    <w:rsid w:val="0033387D"/>
    <w:rsid w:val="00355595"/>
    <w:rsid w:val="00377928"/>
    <w:rsid w:val="005800EE"/>
    <w:rsid w:val="00707867"/>
    <w:rsid w:val="0083041D"/>
    <w:rsid w:val="009D0F31"/>
    <w:rsid w:val="00A30104"/>
    <w:rsid w:val="00A40D9B"/>
    <w:rsid w:val="00AC6939"/>
    <w:rsid w:val="00AD1932"/>
    <w:rsid w:val="00BB29CC"/>
    <w:rsid w:val="00CA7B0C"/>
    <w:rsid w:val="00DC297E"/>
    <w:rsid w:val="00E95465"/>
    <w:rsid w:val="00F978B9"/>
    <w:rsid w:val="00FC3728"/>
    <w:rsid w:val="09DD5DAE"/>
    <w:rsid w:val="4036318D"/>
    <w:rsid w:val="555A50A7"/>
    <w:rsid w:val="6A5C53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basedOn w:val="4"/>
    <w:qFormat/>
    <w:uiPriority w:val="0"/>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Default"/>
    <w:basedOn w:val="1"/>
    <w:uiPriority w:val="0"/>
    <w:pPr>
      <w:autoSpaceDE w:val="0"/>
      <w:autoSpaceDN w:val="0"/>
      <w:adjustRightInd w:val="0"/>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DBA1C-AB0E-46EE-B682-161D2B97EDB6}">
  <ds:schemaRefs/>
</ds:datastoreItem>
</file>

<file path=docProps/app.xml><?xml version="1.0" encoding="utf-8"?>
<Properties xmlns="http://schemas.openxmlformats.org/officeDocument/2006/extended-properties" xmlns:vt="http://schemas.openxmlformats.org/officeDocument/2006/docPropsVTypes">
  <Template>Normal</Template>
  <Pages>20</Pages>
  <Words>1946</Words>
  <Characters>11097</Characters>
  <Lines>92</Lines>
  <Paragraphs>26</Paragraphs>
  <ScaleCrop>false</ScaleCrop>
  <LinksUpToDate>false</LinksUpToDate>
  <CharactersWithSpaces>13017</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2017-08-14T10:00:00Z</dcterms:created>
  <dc:creator>lenvov</dc:creator>
  <cp:lastModifiedBy>lenvov</cp:lastModifiedBy>
  <dcterms:modified xsi:type="dcterms:W3CDTF">2017-11-01T06:22:08Z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