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sz w:val="52"/>
          <w:szCs w:val="52"/>
        </w:rPr>
      </w:pPr>
      <w:r>
        <w:rPr>
          <w:rFonts w:ascii="方正小标宋简体" w:hAnsi="方正小标宋简体"/>
          <w:sz w:val="52"/>
          <w:szCs w:val="52"/>
        </w:rPr>
        <w:t>枣庄市商务局</w:t>
      </w:r>
    </w:p>
    <w:p>
      <w:pPr>
        <w:spacing w:line="640" w:lineRule="exact"/>
        <w:jc w:val="center"/>
        <w:rPr>
          <w:rFonts w:ascii="方正小标宋简体"/>
          <w:sz w:val="52"/>
          <w:szCs w:val="52"/>
        </w:rPr>
      </w:pPr>
      <w:r>
        <w:rPr>
          <w:rFonts w:ascii="方正小标宋简体"/>
          <w:sz w:val="52"/>
          <w:szCs w:val="52"/>
        </w:rPr>
        <w:t>201</w:t>
      </w:r>
      <w:r>
        <w:rPr>
          <w:rFonts w:hint="eastAsia" w:ascii="方正小标宋简体"/>
          <w:sz w:val="52"/>
          <w:szCs w:val="52"/>
          <w:lang w:val="en-US" w:eastAsia="zh-CN"/>
        </w:rPr>
        <w:t>9</w:t>
      </w:r>
      <w:r>
        <w:rPr>
          <w:rFonts w:ascii="方正小标宋简体" w:hAnsi="方正小标宋简体"/>
          <w:sz w:val="52"/>
          <w:szCs w:val="52"/>
        </w:rPr>
        <w:t>年部门预算公开</w:t>
      </w:r>
    </w:p>
    <w:p>
      <w:pPr>
        <w:spacing w:line="640" w:lineRule="exact"/>
        <w:rPr>
          <w:rFonts w:ascii="仿宋_GB2312"/>
          <w:sz w:val="32"/>
          <w:szCs w:val="32"/>
        </w:rPr>
      </w:pPr>
      <w:r>
        <w:rPr>
          <w:rFonts w:ascii="仿宋_GB2312"/>
          <w:sz w:val="32"/>
          <w:szCs w:val="32"/>
        </w:rPr>
        <w:t xml:space="preserve"> </w:t>
      </w:r>
    </w:p>
    <w:p>
      <w:pPr>
        <w:spacing w:line="640" w:lineRule="exact"/>
        <w:jc w:val="center"/>
        <w:rPr>
          <w:rFonts w:ascii="黑体" w:eastAsia="黑体"/>
          <w:sz w:val="32"/>
          <w:szCs w:val="32"/>
        </w:rPr>
      </w:pPr>
      <w:r>
        <w:rPr>
          <w:rFonts w:hint="eastAsia" w:ascii="黑体" w:hAnsi="黑体" w:eastAsia="黑体"/>
          <w:sz w:val="32"/>
          <w:szCs w:val="32"/>
        </w:rPr>
        <w:t>第一部分</w:t>
      </w:r>
      <w:r>
        <w:rPr>
          <w:rFonts w:hint="eastAsia" w:ascii="黑体" w:eastAsia="黑体"/>
          <w:sz w:val="32"/>
          <w:szCs w:val="32"/>
        </w:rPr>
        <w:t xml:space="preserve">   </w:t>
      </w:r>
      <w:r>
        <w:rPr>
          <w:rFonts w:hint="eastAsia" w:ascii="黑体" w:hAnsi="黑体" w:eastAsia="黑体"/>
          <w:sz w:val="32"/>
          <w:szCs w:val="32"/>
        </w:rPr>
        <w:t>概况</w:t>
      </w:r>
    </w:p>
    <w:p>
      <w:pPr>
        <w:spacing w:line="640" w:lineRule="exact"/>
        <w:jc w:val="center"/>
        <w:rPr>
          <w:rFonts w:hint="eastAsia" w:ascii="黑体" w:eastAsia="黑体"/>
          <w:sz w:val="32"/>
          <w:szCs w:val="32"/>
        </w:rPr>
      </w:pPr>
      <w:r>
        <w:rPr>
          <w:rFonts w:hint="eastAsia" w:ascii="黑体" w:eastAsia="黑体"/>
          <w:sz w:val="32"/>
          <w:szCs w:val="32"/>
        </w:rPr>
        <w:t xml:space="preserve"> </w:t>
      </w:r>
    </w:p>
    <w:p>
      <w:pPr>
        <w:spacing w:line="640" w:lineRule="exact"/>
        <w:ind w:firstLine="630" w:firstLineChars="196"/>
        <w:rPr>
          <w:rFonts w:hint="eastAsia" w:ascii="楷体_GB2312"/>
          <w:b/>
          <w:bCs/>
          <w:sz w:val="32"/>
          <w:szCs w:val="32"/>
        </w:rPr>
      </w:pPr>
      <w:r>
        <w:rPr>
          <w:rFonts w:ascii="楷体_GB2312" w:hAnsi="楷体_GB2312"/>
          <w:b/>
          <w:bCs/>
          <w:sz w:val="32"/>
          <w:szCs w:val="32"/>
        </w:rPr>
        <w:t>一、主要职能及机构设置：</w:t>
      </w:r>
    </w:p>
    <w:p>
      <w:pPr>
        <w:spacing w:line="54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枣庄市商务局是市政府组成部门，为一级预算单位，主要职能：</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（一）贯彻执行国家和省商务领域的法律、法规，拟订全市商务发展规划、政策并组织实施；研究经济全球化、区域经济合作、现代流通方式的发展趋势和流通体制改革并提出建议。</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二）负责推进流通产业结构调整，指导流通企业和社区商业发展；负责商贸服务业管理工作，提出促进商贸中小企业发展的政策建议；制定再生资源回收行业发展规划、政策并组织实施；推动流通标准化和连锁经营、商业特许经营、物流配送、电子商务等现代流通方式的发展。</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三）研究提出引导国内外资金投向市场体系建设的政策建议，促进城乡市场发展；指导大宗产品批发市场规划和城市商业网点规划、商业体系建设工作；推进农村市场体系建设，组织实施农村现代流通网络工程。</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四）承担牵头协调整顿和规范全市市场经济秩序工作的责任。拟订规范市场运行、流通秩序的政策；推动商务领域信用建设，指导商业信用销售；按规定对拍卖、典当、租赁、汽车流通、旧货流通、报废汽车回收（含拆解）等特殊流通行业进行监督管理；承担医药行业管理工作，拟订医药行业发展规划、政策并组织实施；负责市级药品储备管理和中药材生产扶持项目管理。</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五）负责建立健全全市生活必需品市场供应应急管理机制；监测分析市场运行、商品供求状况，调查分析商品价格信息，进行预测预警和信息引导；按规定负责重要消费品储备管理、市场调控和重要生产资料流通管理工作。</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（六）拟订促进外贸发展方式转变的政策并组织实施；按规定负责申报、审核和监督管理重要工业品、原材料和重要农产品（粮食、棉花除外）进出口计划及配额；指导贸易促进活动和外贸促进体系建设。</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（七）拟订机电产品进出口发展规划、政策并组织实施；依据国家产业政策调整机电产品进出口结构；负责机电产品进出口申报、审核和管理工作，指导协调大型成套设备出口，组织企业开拓机电产品国际市场。</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八）拟订技术贸易发展规划、政策并组织实施；组织实施“科技兴贸”战略相关工作，承担高新技术产品贸易促进工作；指导管理加工贸易，按规定核准加工贸易业务；按规定负责两用物项和技术进出口管理及出口管制和最终用户管理工作；推进进出口贸易标准化工作；研究制定外经贸体制改革方案，指导国有外经贸企业的改革工作。</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（九）牵头拟订服务贸易发展规划并开展相关工作；会同有关部门制定促进服务出口和服务外包发展的规划、政策并组织实施；推动服务外包平台建设。</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承担世界贸易组织相关规则、协议的咨询服务工作；组织协调涉及我市的反倾销、反补贴和保障措施、其他进出口公平贸易应诉及相关工作；指导、协调企业对进口产品发起的反倾销、反补贴和保障措施调查；配合开展对外贸易壁垒调查和产业损害调查；指导、协调产业安全应对工作；按规定承担对经营者集中行为进行反垄断调查的相关工作。</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一）指导、管理全市外商投资工作；拟订吸收外商投资发展规划和政策；按权限核准和审核、申报外商投资企业的设立及变更事项；依法监督检查外商投资企业执行有关法律法规规章、合同章程的情况并协调解决有关问题；组织指导外商投资促进工作。</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（十二）拟订全市“走出去”发展规划、政策并组织实施；研究拟订境外投资的管理办法和具体政策；依法审核上报市内企业对外投资开办企业（金融企业除外）。</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三）负责对外经济合作和对外援助工作；管理、监督对外承包工程、对外劳务合作等对外经济合作业务；审核上报对外承包工程、对外劳务合作经营资格；按规定负责外派劳务和境外就业人员的权益保护工作；协调管理我市承办的国家对外援助项目、多双边及国外民间组织对我市提供的无偿援助和赠款项目（不含财政合作项下外国政府及国际金融组织对我市赠款）。</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四）会同有关部门拟订全市经济开发区、出口加工区、保税区、保税物流中心等发展规划、政策；负责国家级经济开发区设立的申报；负责全市省级经济开发区的综合协调和产业发展规划的组织实施；负责全市省级经济开发区综合评价、统计、考核工作。</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（十五）贯彻执行国别（地区）外经贸政策，负责建立和发展与有关国际经济组织、国外地方政府、友好城市间的经贸关系，指导与未建交国家的经贸活动；推进与香港、澳门特别行政区和台湾地区的经贸合作。</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（十六）组织领导全市国有（集体）流通企业改革和调整重组；负责指导管理原市直商业、物资、医药系统国有及国有控股企业。</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（十七）承办市委、市政府交办的其他事项。</w:t>
      </w:r>
    </w:p>
    <w:p>
      <w:pPr>
        <w:spacing w:line="640" w:lineRule="exact"/>
        <w:ind w:firstLine="630" w:firstLineChars="196"/>
        <w:rPr>
          <w:rFonts w:hint="eastAsia" w:ascii="楷体_GB2312"/>
          <w:b/>
          <w:bCs/>
          <w:sz w:val="32"/>
          <w:szCs w:val="32"/>
        </w:rPr>
      </w:pPr>
      <w:r>
        <w:rPr>
          <w:rFonts w:ascii="楷体_GB2312" w:hAnsi="楷体_GB2312"/>
          <w:b/>
          <w:bCs/>
          <w:sz w:val="32"/>
          <w:szCs w:val="32"/>
        </w:rPr>
        <w:t>二、部门预算单位构成</w:t>
      </w:r>
    </w:p>
    <w:p>
      <w:pPr>
        <w:spacing w:line="540" w:lineRule="exact"/>
        <w:ind w:firstLine="720"/>
        <w:rPr>
          <w:rFonts w:ascii="仿宋" w:hAnsi="仿宋" w:eastAsia="仿宋"/>
          <w:sz w:val="28"/>
          <w:szCs w:val="28"/>
        </w:rPr>
      </w:pPr>
      <w:r>
        <w:rPr>
          <w:rFonts w:hint="eastAsia" w:ascii="仿宋" w:hAnsi="仿宋" w:eastAsia="仿宋"/>
          <w:sz w:val="28"/>
          <w:szCs w:val="28"/>
        </w:rPr>
        <w:t>枣庄市商务局部门预算包括：市商务局机关预算、3个局属事业单位预算。纳入枣庄市商务局2016年部门预算编报范围的单位详细情况见下表：</w:t>
      </w:r>
    </w:p>
    <w:tbl>
      <w:tblPr>
        <w:tblStyle w:val="4"/>
        <w:tblW w:w="14174" w:type="dxa"/>
        <w:tblInd w:w="0" w:type="dxa"/>
        <w:tblLayout w:type="fixed"/>
        <w:tblCellMar>
          <w:top w:w="0" w:type="dxa"/>
          <w:left w:w="108" w:type="dxa"/>
          <w:bottom w:w="0" w:type="dxa"/>
          <w:right w:w="108" w:type="dxa"/>
        </w:tblCellMar>
      </w:tblPr>
      <w:tblGrid>
        <w:gridCol w:w="1933"/>
        <w:gridCol w:w="7617"/>
        <w:gridCol w:w="4624"/>
      </w:tblGrid>
      <w:tr>
        <w:tblPrEx>
          <w:tblLayout w:type="fixed"/>
          <w:tblCellMar>
            <w:top w:w="0" w:type="dxa"/>
            <w:left w:w="108" w:type="dxa"/>
            <w:bottom w:w="0" w:type="dxa"/>
            <w:right w:w="108" w:type="dxa"/>
          </w:tblCellMar>
        </w:tblPrEx>
        <w:tc>
          <w:tcPr>
            <w:tcW w:w="1933" w:type="dxa"/>
            <w:tcBorders>
              <w:top w:val="single" w:color="auto" w:sz="4" w:space="0"/>
              <w:left w:val="single" w:color="auto" w:sz="4" w:space="0"/>
              <w:bottom w:val="single" w:color="auto" w:sz="4" w:space="0"/>
              <w:right w:val="single" w:color="auto" w:sz="4" w:space="0"/>
            </w:tcBorders>
            <w:vAlign w:val="center"/>
          </w:tcPr>
          <w:p>
            <w:pPr>
              <w:spacing w:line="540" w:lineRule="exact"/>
              <w:ind w:firstLine="140" w:firstLineChars="50"/>
              <w:jc w:val="center"/>
              <w:rPr>
                <w:rFonts w:ascii="仿宋" w:hAnsi="仿宋" w:eastAsia="仿宋"/>
                <w:sz w:val="28"/>
                <w:szCs w:val="28"/>
              </w:rPr>
            </w:pPr>
            <w:r>
              <w:rPr>
                <w:rFonts w:hint="eastAsia" w:ascii="仿宋" w:hAnsi="仿宋" w:eastAsia="仿宋"/>
                <w:sz w:val="28"/>
                <w:szCs w:val="28"/>
              </w:rPr>
              <w:t>序号</w:t>
            </w:r>
          </w:p>
        </w:tc>
        <w:tc>
          <w:tcPr>
            <w:tcW w:w="7617" w:type="dxa"/>
            <w:tcBorders>
              <w:top w:val="single" w:color="auto" w:sz="4" w:space="0"/>
              <w:left w:val="nil"/>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单 位 名 称</w:t>
            </w:r>
          </w:p>
        </w:tc>
        <w:tc>
          <w:tcPr>
            <w:tcW w:w="4624" w:type="dxa"/>
            <w:tcBorders>
              <w:top w:val="single" w:color="auto" w:sz="4" w:space="0"/>
              <w:left w:val="nil"/>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备注</w:t>
            </w:r>
          </w:p>
        </w:tc>
      </w:tr>
      <w:tr>
        <w:tblPrEx>
          <w:tblLayout w:type="fixed"/>
          <w:tblCellMar>
            <w:top w:w="0" w:type="dxa"/>
            <w:left w:w="108" w:type="dxa"/>
            <w:bottom w:w="0" w:type="dxa"/>
            <w:right w:w="108" w:type="dxa"/>
          </w:tblCellMar>
        </w:tblPrEx>
        <w:trPr>
          <w:trHeight w:val="480" w:hRule="atLeast"/>
        </w:trPr>
        <w:tc>
          <w:tcPr>
            <w:tcW w:w="19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1</w:t>
            </w:r>
          </w:p>
        </w:tc>
        <w:tc>
          <w:tcPr>
            <w:tcW w:w="7617"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枣庄市商务局机关</w:t>
            </w:r>
          </w:p>
        </w:tc>
        <w:tc>
          <w:tcPr>
            <w:tcW w:w="4624"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p>
        </w:tc>
      </w:tr>
      <w:tr>
        <w:tblPrEx>
          <w:tblLayout w:type="fixed"/>
          <w:tblCellMar>
            <w:top w:w="0" w:type="dxa"/>
            <w:left w:w="108" w:type="dxa"/>
            <w:bottom w:w="0" w:type="dxa"/>
            <w:right w:w="108" w:type="dxa"/>
          </w:tblCellMar>
        </w:tblPrEx>
        <w:trPr>
          <w:trHeight w:val="453" w:hRule="atLeast"/>
        </w:trPr>
        <w:tc>
          <w:tcPr>
            <w:tcW w:w="19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2</w:t>
            </w:r>
          </w:p>
        </w:tc>
        <w:tc>
          <w:tcPr>
            <w:tcW w:w="7617"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枣庄市外商投资企业管理办公室</w:t>
            </w:r>
          </w:p>
        </w:tc>
        <w:tc>
          <w:tcPr>
            <w:tcW w:w="4624"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财政拨款事业单位</w:t>
            </w:r>
          </w:p>
        </w:tc>
      </w:tr>
      <w:tr>
        <w:tblPrEx>
          <w:tblLayout w:type="fixed"/>
          <w:tblCellMar>
            <w:top w:w="0" w:type="dxa"/>
            <w:left w:w="108" w:type="dxa"/>
            <w:bottom w:w="0" w:type="dxa"/>
            <w:right w:w="108" w:type="dxa"/>
          </w:tblCellMar>
        </w:tblPrEx>
        <w:tc>
          <w:tcPr>
            <w:tcW w:w="19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3</w:t>
            </w:r>
          </w:p>
        </w:tc>
        <w:tc>
          <w:tcPr>
            <w:tcW w:w="7617"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枣庄市商务行政执法支队（加挂枣庄市12312商务举报投诉中心牌子）</w:t>
            </w:r>
          </w:p>
        </w:tc>
        <w:tc>
          <w:tcPr>
            <w:tcW w:w="4624"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color w:val="000000"/>
                <w:sz w:val="28"/>
                <w:szCs w:val="28"/>
              </w:rPr>
            </w:pPr>
            <w:r>
              <w:rPr>
                <w:rFonts w:hint="eastAsia" w:ascii="仿宋" w:hAnsi="仿宋" w:eastAsia="仿宋"/>
                <w:sz w:val="28"/>
                <w:szCs w:val="28"/>
              </w:rPr>
              <w:t>财政拨款事业单位</w:t>
            </w:r>
          </w:p>
        </w:tc>
      </w:tr>
      <w:tr>
        <w:tblPrEx>
          <w:tblLayout w:type="fixed"/>
          <w:tblCellMar>
            <w:top w:w="0" w:type="dxa"/>
            <w:left w:w="108" w:type="dxa"/>
            <w:bottom w:w="0" w:type="dxa"/>
            <w:right w:w="108" w:type="dxa"/>
          </w:tblCellMar>
        </w:tblPrEx>
        <w:tc>
          <w:tcPr>
            <w:tcW w:w="19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sz w:val="28"/>
                <w:szCs w:val="28"/>
              </w:rPr>
            </w:pPr>
            <w:r>
              <w:rPr>
                <w:rFonts w:hint="eastAsia" w:ascii="仿宋" w:hAnsi="仿宋" w:eastAsia="仿宋"/>
                <w:sz w:val="28"/>
                <w:szCs w:val="28"/>
              </w:rPr>
              <w:t>4</w:t>
            </w:r>
          </w:p>
        </w:tc>
        <w:tc>
          <w:tcPr>
            <w:tcW w:w="7617"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sz w:val="28"/>
                <w:szCs w:val="28"/>
              </w:rPr>
            </w:pPr>
            <w:r>
              <w:rPr>
                <w:rFonts w:hint="eastAsia" w:ascii="仿宋" w:hAnsi="仿宋" w:eastAsia="仿宋"/>
                <w:sz w:val="28"/>
                <w:szCs w:val="28"/>
              </w:rPr>
              <w:t>枣庄市外来投资者投诉中心</w:t>
            </w:r>
          </w:p>
        </w:tc>
        <w:tc>
          <w:tcPr>
            <w:tcW w:w="4624" w:type="dxa"/>
            <w:tcBorders>
              <w:top w:val="single" w:color="auto" w:sz="4" w:space="0"/>
              <w:left w:val="nil"/>
              <w:bottom w:val="single" w:color="auto" w:sz="4" w:space="0"/>
              <w:right w:val="single" w:color="auto" w:sz="4" w:space="0"/>
            </w:tcBorders>
            <w:vAlign w:val="center"/>
          </w:tcPr>
          <w:p>
            <w:pPr>
              <w:spacing w:line="540" w:lineRule="exact"/>
              <w:rPr>
                <w:rFonts w:ascii="仿宋" w:hAnsi="仿宋" w:eastAsia="仿宋"/>
                <w:color w:val="000000"/>
                <w:sz w:val="28"/>
                <w:szCs w:val="28"/>
              </w:rPr>
            </w:pPr>
            <w:r>
              <w:rPr>
                <w:rFonts w:hint="eastAsia" w:ascii="仿宋" w:hAnsi="仿宋" w:eastAsia="仿宋"/>
                <w:sz w:val="28"/>
                <w:szCs w:val="28"/>
              </w:rPr>
              <w:t>财政拨款事业单位</w:t>
            </w:r>
          </w:p>
        </w:tc>
      </w:tr>
    </w:tbl>
    <w:p>
      <w:pPr>
        <w:rPr>
          <w:rFonts w:hint="eastAsia"/>
        </w:rPr>
      </w:pPr>
      <w:r>
        <w:rPr>
          <w:rFonts w:hint="eastAsia" w:ascii="宋体" w:hAnsi="宋体"/>
          <w:b/>
          <w:bCs/>
          <w:color w:val="000000"/>
          <w:kern w:val="0"/>
          <w:sz w:val="44"/>
          <w:szCs w:val="44"/>
        </w:rPr>
        <w:br w:type="page"/>
      </w:r>
    </w:p>
    <w:p>
      <w:bookmarkStart w:id="0" w:name="RANGE!A1:D33"/>
      <w:bookmarkEnd w:id="0"/>
      <w:r>
        <w:t xml:space="preserve"> </w:t>
      </w:r>
    </w:p>
    <w:tbl>
      <w:tblPr>
        <w:tblStyle w:val="4"/>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37"/>
        <w:gridCol w:w="1257"/>
        <w:gridCol w:w="2203"/>
        <w:gridCol w:w="1258"/>
        <w:gridCol w:w="2381"/>
        <w:gridCol w:w="1257"/>
        <w:gridCol w:w="1737"/>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2637" w:type="dxa"/>
            <w:shd w:val="clear" w:color="auto" w:fill="auto"/>
            <w:vAlign w:val="center"/>
          </w:tcPr>
          <w:p>
            <w:pPr>
              <w:rPr>
                <w:rFonts w:hint="eastAsia" w:ascii="宋体" w:hAnsi="宋体" w:eastAsia="宋体" w:cs="宋体"/>
                <w:i w:val="0"/>
                <w:color w:val="000000"/>
                <w:sz w:val="20"/>
                <w:szCs w:val="20"/>
                <w:u w:val="none"/>
              </w:rPr>
            </w:pPr>
          </w:p>
        </w:tc>
        <w:tc>
          <w:tcPr>
            <w:tcW w:w="1257" w:type="dxa"/>
            <w:shd w:val="clear" w:color="auto" w:fill="auto"/>
            <w:vAlign w:val="center"/>
          </w:tcPr>
          <w:p>
            <w:pPr>
              <w:jc w:val="right"/>
              <w:rPr>
                <w:rFonts w:hint="eastAsia" w:ascii="宋体" w:hAnsi="宋体" w:eastAsia="宋体" w:cs="宋体"/>
                <w:i w:val="0"/>
                <w:color w:val="000000"/>
                <w:sz w:val="20"/>
                <w:szCs w:val="20"/>
                <w:u w:val="none"/>
              </w:rPr>
            </w:pPr>
          </w:p>
        </w:tc>
        <w:tc>
          <w:tcPr>
            <w:tcW w:w="2203" w:type="dxa"/>
            <w:shd w:val="clear" w:color="auto" w:fill="auto"/>
            <w:vAlign w:val="center"/>
          </w:tcPr>
          <w:p>
            <w:pPr>
              <w:jc w:val="right"/>
              <w:rPr>
                <w:rFonts w:hint="eastAsia" w:ascii="宋体" w:hAnsi="宋体" w:eastAsia="宋体" w:cs="宋体"/>
                <w:i w:val="0"/>
                <w:color w:val="000000"/>
                <w:sz w:val="20"/>
                <w:szCs w:val="20"/>
                <w:u w:val="none"/>
              </w:rPr>
            </w:pPr>
          </w:p>
        </w:tc>
        <w:tc>
          <w:tcPr>
            <w:tcW w:w="1258" w:type="dxa"/>
            <w:shd w:val="clear" w:color="auto" w:fill="auto"/>
            <w:vAlign w:val="center"/>
          </w:tcPr>
          <w:p>
            <w:pPr>
              <w:jc w:val="right"/>
              <w:rPr>
                <w:rFonts w:hint="eastAsia" w:ascii="宋体" w:hAnsi="宋体" w:eastAsia="宋体" w:cs="宋体"/>
                <w:i w:val="0"/>
                <w:color w:val="000000"/>
                <w:sz w:val="20"/>
                <w:szCs w:val="20"/>
                <w:u w:val="none"/>
              </w:rPr>
            </w:pPr>
          </w:p>
        </w:tc>
        <w:tc>
          <w:tcPr>
            <w:tcW w:w="2381" w:type="dxa"/>
            <w:shd w:val="clear" w:color="auto" w:fill="auto"/>
            <w:vAlign w:val="center"/>
          </w:tcPr>
          <w:p>
            <w:pPr>
              <w:jc w:val="right"/>
              <w:rPr>
                <w:rFonts w:hint="eastAsia" w:ascii="宋体" w:hAnsi="宋体" w:eastAsia="宋体" w:cs="宋体"/>
                <w:i w:val="0"/>
                <w:color w:val="000000"/>
                <w:sz w:val="20"/>
                <w:szCs w:val="20"/>
                <w:u w:val="none"/>
              </w:rPr>
            </w:pPr>
          </w:p>
        </w:tc>
        <w:tc>
          <w:tcPr>
            <w:tcW w:w="1257" w:type="dxa"/>
            <w:shd w:val="clear" w:color="auto" w:fill="auto"/>
            <w:vAlign w:val="center"/>
          </w:tcPr>
          <w:p>
            <w:pPr>
              <w:rPr>
                <w:rFonts w:hint="eastAsia" w:ascii="宋体" w:hAnsi="宋体" w:eastAsia="宋体" w:cs="宋体"/>
                <w:i w:val="0"/>
                <w:color w:val="000000"/>
                <w:sz w:val="20"/>
                <w:szCs w:val="20"/>
                <w:u w:val="none"/>
              </w:rPr>
            </w:pPr>
          </w:p>
        </w:tc>
        <w:tc>
          <w:tcPr>
            <w:tcW w:w="2995"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预算批复表01表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3988" w:type="dxa"/>
            <w:gridSpan w:val="8"/>
            <w:shd w:val="clear" w:color="auto" w:fill="auto"/>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44"/>
                <w:szCs w:val="44"/>
                <w:u w:val="none"/>
                <w:lang w:val="en-US" w:eastAsia="zh-CN" w:bidi="ar"/>
              </w:rPr>
              <w:t>枣庄市市直201</w:t>
            </w:r>
            <w:r>
              <w:rPr>
                <w:rStyle w:val="8"/>
                <w:lang w:val="en-US" w:eastAsia="zh-CN" w:bidi="ar"/>
              </w:rPr>
              <w:t>9年收支预算总表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63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单位名称：枣庄市商务局</w:t>
            </w:r>
          </w:p>
        </w:tc>
        <w:tc>
          <w:tcPr>
            <w:tcW w:w="1257" w:type="dxa"/>
            <w:shd w:val="clear" w:color="auto" w:fill="auto"/>
            <w:vAlign w:val="center"/>
          </w:tcPr>
          <w:p>
            <w:pPr>
              <w:jc w:val="center"/>
              <w:rPr>
                <w:rFonts w:hint="eastAsia" w:ascii="宋体" w:hAnsi="宋体" w:eastAsia="宋体" w:cs="宋体"/>
                <w:i w:val="0"/>
                <w:color w:val="000000"/>
                <w:sz w:val="18"/>
                <w:szCs w:val="18"/>
                <w:u w:val="none"/>
              </w:rPr>
            </w:pPr>
          </w:p>
        </w:tc>
        <w:tc>
          <w:tcPr>
            <w:tcW w:w="2203" w:type="dxa"/>
            <w:shd w:val="clear" w:color="auto" w:fill="auto"/>
            <w:vAlign w:val="center"/>
          </w:tcPr>
          <w:p>
            <w:pPr>
              <w:jc w:val="center"/>
              <w:rPr>
                <w:rFonts w:hint="eastAsia" w:ascii="宋体" w:hAnsi="宋体" w:eastAsia="宋体" w:cs="宋体"/>
                <w:i w:val="0"/>
                <w:color w:val="000000"/>
                <w:sz w:val="18"/>
                <w:szCs w:val="18"/>
                <w:u w:val="none"/>
              </w:rPr>
            </w:pPr>
          </w:p>
        </w:tc>
        <w:tc>
          <w:tcPr>
            <w:tcW w:w="1258" w:type="dxa"/>
            <w:shd w:val="clear" w:color="auto" w:fill="auto"/>
            <w:vAlign w:val="center"/>
          </w:tcPr>
          <w:p>
            <w:pPr>
              <w:jc w:val="center"/>
              <w:rPr>
                <w:rFonts w:hint="eastAsia" w:ascii="宋体" w:hAnsi="宋体" w:eastAsia="宋体" w:cs="宋体"/>
                <w:i w:val="0"/>
                <w:color w:val="000000"/>
                <w:sz w:val="18"/>
                <w:szCs w:val="18"/>
                <w:u w:val="none"/>
              </w:rPr>
            </w:pPr>
          </w:p>
        </w:tc>
        <w:tc>
          <w:tcPr>
            <w:tcW w:w="2381" w:type="dxa"/>
            <w:shd w:val="clear" w:color="auto" w:fill="auto"/>
            <w:vAlign w:val="center"/>
          </w:tcPr>
          <w:p>
            <w:pPr>
              <w:jc w:val="center"/>
              <w:rPr>
                <w:rFonts w:hint="eastAsia" w:ascii="宋体" w:hAnsi="宋体" w:eastAsia="宋体" w:cs="宋体"/>
                <w:i w:val="0"/>
                <w:color w:val="000000"/>
                <w:sz w:val="18"/>
                <w:szCs w:val="18"/>
                <w:u w:val="none"/>
              </w:rPr>
            </w:pPr>
          </w:p>
        </w:tc>
        <w:tc>
          <w:tcPr>
            <w:tcW w:w="1257" w:type="dxa"/>
            <w:shd w:val="clear" w:color="auto" w:fill="auto"/>
            <w:vAlign w:val="center"/>
          </w:tcPr>
          <w:p>
            <w:pPr>
              <w:rPr>
                <w:rFonts w:hint="eastAsia" w:ascii="宋体" w:hAnsi="宋体" w:eastAsia="宋体" w:cs="宋体"/>
                <w:i w:val="0"/>
                <w:color w:val="000000"/>
                <w:sz w:val="20"/>
                <w:szCs w:val="20"/>
                <w:u w:val="none"/>
              </w:rPr>
            </w:pPr>
          </w:p>
        </w:tc>
        <w:tc>
          <w:tcPr>
            <w:tcW w:w="1737" w:type="dxa"/>
            <w:shd w:val="clear" w:color="auto" w:fill="auto"/>
            <w:vAlign w:val="center"/>
          </w:tcPr>
          <w:p>
            <w:pPr>
              <w:rPr>
                <w:rFonts w:hint="eastAsia" w:ascii="宋体" w:hAnsi="宋体" w:eastAsia="宋体" w:cs="宋体"/>
                <w:i w:val="0"/>
                <w:color w:val="000000"/>
                <w:sz w:val="20"/>
                <w:szCs w:val="20"/>
                <w:u w:val="none"/>
              </w:rPr>
            </w:pPr>
          </w:p>
        </w:tc>
        <w:tc>
          <w:tcPr>
            <w:tcW w:w="125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收入项目</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201</w:t>
            </w:r>
            <w:r>
              <w:rPr>
                <w:rStyle w:val="9"/>
                <w:sz w:val="13"/>
                <w:szCs w:val="13"/>
                <w:lang w:val="en-US" w:eastAsia="zh-CN" w:bidi="ar"/>
              </w:rPr>
              <w:t>9年预算</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支出功能分类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201</w:t>
            </w:r>
            <w:r>
              <w:rPr>
                <w:rStyle w:val="9"/>
                <w:sz w:val="13"/>
                <w:szCs w:val="13"/>
                <w:lang w:val="en-US" w:eastAsia="zh-CN" w:bidi="ar"/>
              </w:rPr>
              <w:t>9年预算</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支出项目</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201</w:t>
            </w:r>
            <w:r>
              <w:rPr>
                <w:rStyle w:val="9"/>
                <w:sz w:val="13"/>
                <w:szCs w:val="13"/>
                <w:lang w:val="en-US" w:eastAsia="zh-CN" w:bidi="ar"/>
              </w:rPr>
              <w:t>9年预算</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经济科目分类</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201</w:t>
            </w:r>
            <w:r>
              <w:rPr>
                <w:rStyle w:val="9"/>
                <w:sz w:val="13"/>
                <w:szCs w:val="13"/>
                <w:lang w:val="en-US" w:eastAsia="zh-CN" w:bidi="ar"/>
              </w:rPr>
              <w:t>9年预算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一般公共预算拨款（补助）</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一、一般公共服务支出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856.57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一、基本支出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1,038.24</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一、工资福利支出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898.68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一般公共预算拨款（补助）小计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二、外交支出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工资福利支出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898.68</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二、商品和服务支出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176.46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经费拨款（补助）</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三、国防支出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对个人和家庭的补助支出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54.10</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三、对个人和家庭补助支出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54.10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专项收入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四、公共安全支出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商品和服务支出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85.46</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四、转移性支出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纳入预算管理的行政性收费安排的拨款</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五、教育支出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9.30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一般商品和服务支出(标准)</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85.46</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五、债务利息及费用支出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罚没收入安排的拨款</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六、科学技术支出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离退休人员公用支出(标准)</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六、债务还本支出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捐赠收入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七、文化旅游体育与传媒支出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二、项目支出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91.00</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七、资本性支出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国有资源（资产）有偿使用收入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八、社会保障与就业支出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139.02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业务类项目支出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91.00</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八、对企业补助</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10"/>
                <w:rFonts w:eastAsia="宋体"/>
                <w:sz w:val="13"/>
                <w:szCs w:val="13"/>
                <w:lang w:val="en-US" w:eastAsia="zh-CN" w:bidi="ar"/>
              </w:rPr>
              <w:t xml:space="preserve">   </w:t>
            </w:r>
            <w:r>
              <w:rPr>
                <w:rStyle w:val="9"/>
                <w:sz w:val="13"/>
                <w:szCs w:val="13"/>
                <w:lang w:val="en-US" w:eastAsia="zh-CN" w:bidi="ar"/>
              </w:rPr>
              <w:t>政府住房基金收入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九、社会保险基金支出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投资类项目支出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九、对社会保障基金补助</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10"/>
                <w:rFonts w:eastAsia="宋体"/>
                <w:sz w:val="13"/>
                <w:szCs w:val="13"/>
                <w:lang w:val="en-US" w:eastAsia="zh-CN" w:bidi="ar"/>
              </w:rPr>
              <w:t xml:space="preserve">   </w:t>
            </w:r>
            <w:r>
              <w:rPr>
                <w:rStyle w:val="9"/>
                <w:sz w:val="13"/>
                <w:szCs w:val="13"/>
                <w:lang w:val="en-US" w:eastAsia="zh-CN" w:bidi="ar"/>
              </w:rPr>
              <w:t>中央、省专项转移支付</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十、卫生健康支出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54.62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发展类项目支出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十、其他支出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10"/>
                <w:rFonts w:eastAsia="宋体"/>
                <w:sz w:val="13"/>
                <w:szCs w:val="13"/>
                <w:lang w:val="en-US" w:eastAsia="zh-CN" w:bidi="ar"/>
              </w:rPr>
              <w:t xml:space="preserve">   </w:t>
            </w:r>
            <w:r>
              <w:rPr>
                <w:rStyle w:val="9"/>
                <w:sz w:val="13"/>
                <w:szCs w:val="13"/>
                <w:lang w:val="en-US" w:eastAsia="zh-CN" w:bidi="ar"/>
              </w:rPr>
              <w:t>中央、省一般转移支付</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十一、节能环保支出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其他项目支出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纳入预算管理的政府性基金</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十二、城乡社区支出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三、事业单位经营支出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10"/>
                <w:rFonts w:eastAsia="宋体"/>
                <w:sz w:val="13"/>
                <w:szCs w:val="13"/>
                <w:lang w:val="en-US" w:eastAsia="zh-CN" w:bidi="ar"/>
              </w:rPr>
              <w:t xml:space="preserve">   </w:t>
            </w:r>
            <w:r>
              <w:rPr>
                <w:rStyle w:val="9"/>
                <w:sz w:val="13"/>
                <w:szCs w:val="13"/>
                <w:lang w:val="en-US" w:eastAsia="zh-CN" w:bidi="ar"/>
              </w:rPr>
              <w:t>纳入预算管理的政府性基金小计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十三、农林水支出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本年支出合计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10"/>
                <w:rFonts w:eastAsia="宋体"/>
                <w:sz w:val="13"/>
                <w:szCs w:val="13"/>
                <w:lang w:val="en-US" w:eastAsia="zh-CN" w:bidi="ar"/>
              </w:rPr>
              <w:t xml:space="preserve">   </w:t>
            </w:r>
            <w:r>
              <w:rPr>
                <w:rStyle w:val="9"/>
                <w:sz w:val="13"/>
                <w:szCs w:val="13"/>
                <w:lang w:val="en-US" w:eastAsia="zh-CN" w:bidi="ar"/>
              </w:rPr>
              <w:t>经费拨款（补助）（预算内基金）</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十四、交通运输支出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10"/>
                <w:rFonts w:eastAsia="宋体"/>
                <w:sz w:val="13"/>
                <w:szCs w:val="13"/>
                <w:lang w:val="en-US" w:eastAsia="zh-CN" w:bidi="ar"/>
              </w:rPr>
              <w:t xml:space="preserve">   </w:t>
            </w:r>
            <w:r>
              <w:rPr>
                <w:rStyle w:val="9"/>
                <w:sz w:val="13"/>
                <w:szCs w:val="13"/>
                <w:lang w:val="en-US" w:eastAsia="zh-CN" w:bidi="ar"/>
              </w:rPr>
              <w:t>中央、省专项转移支付（预算内基金）</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十五、资源勘探信息等支出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国有资本经营收入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十六、商业服务业等支出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专户资金</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十七、金融支出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其他资金</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十八、援助其他地区支出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其他资金小计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十九、自然资源海洋气象等支出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事业收入（不含预算外资金）</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二十、住房保障支出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69.73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事业单位经营收入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二十一、粮油物资储备支出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其他收入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二十二、国有资本经营预算支出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四、对附属单位补助支出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上级补助收入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二十三、灾害防治及应急管理支出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五、上缴上级支出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附属单位上缴收入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二十四、预备费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六、结转下年</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用事业基金弥补收支差额</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二十五、其他支出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债务收入</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二十六、债务还本支出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上年结转结余</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二十七、债务付息支出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上年结转结余小计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二十八、债务发行费用支出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一般公共预算拨款的结转和结余</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小         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1,129.24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纳入预算管理的政府性基金结转结余</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国有资本经营收入结转结余</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w:t>
            </w:r>
            <w:r>
              <w:rPr>
                <w:rStyle w:val="9"/>
                <w:sz w:val="13"/>
                <w:szCs w:val="13"/>
                <w:lang w:val="en-US" w:eastAsia="zh-CN" w:bidi="ar"/>
              </w:rPr>
              <w:t>专户资金结转</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 xml:space="preserve">    其他结转</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Arial" w:hAnsi="Arial" w:eastAsia="宋体" w:cs="Arial"/>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二十九、转移性支出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3"/>
                <w:szCs w:val="13"/>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default" w:ascii="Arial" w:hAnsi="Arial" w:eastAsia="宋体" w:cs="Arial"/>
                <w:i w:val="0"/>
                <w:color w:val="000000"/>
                <w:kern w:val="0"/>
                <w:sz w:val="13"/>
                <w:szCs w:val="13"/>
                <w:u w:val="none"/>
                <w:lang w:val="en-US" w:eastAsia="zh-CN" w:bidi="ar"/>
              </w:rPr>
              <w:t>总计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支出合计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1,129.24 </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支出总计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支出经济科目总计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1,129.24 </w:t>
            </w:r>
          </w:p>
        </w:tc>
      </w:tr>
    </w:tbl>
    <w:p>
      <w:pPr>
        <w:rPr>
          <w:rFonts w:ascii="Times New Roman" w:hAnsi="Times New Roman" w:cs="Times New Roman"/>
        </w:rPr>
      </w:pPr>
    </w:p>
    <w:p>
      <w:pPr>
        <w:widowControl/>
        <w:jc w:val="left"/>
      </w:pPr>
      <w:r>
        <w:br w:type="page"/>
      </w:r>
    </w:p>
    <w:p>
      <w:pPr>
        <w:rPr>
          <w:rFonts w:ascii="Times New Roman" w:hAnsi="Times New Roman" w:cs="Times New Roman"/>
        </w:rPr>
      </w:pPr>
      <w:r>
        <w:t xml:space="preserve"> </w:t>
      </w:r>
    </w:p>
    <w:tbl>
      <w:tblPr>
        <w:tblStyle w:val="4"/>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7"/>
        <w:gridCol w:w="1375"/>
        <w:gridCol w:w="750"/>
        <w:gridCol w:w="750"/>
        <w:gridCol w:w="750"/>
        <w:gridCol w:w="321"/>
        <w:gridCol w:w="387"/>
        <w:gridCol w:w="321"/>
        <w:gridCol w:w="322"/>
        <w:gridCol w:w="429"/>
        <w:gridCol w:w="321"/>
        <w:gridCol w:w="390"/>
        <w:gridCol w:w="390"/>
        <w:gridCol w:w="369"/>
        <w:gridCol w:w="390"/>
        <w:gridCol w:w="429"/>
        <w:gridCol w:w="322"/>
        <w:gridCol w:w="321"/>
        <w:gridCol w:w="368"/>
        <w:gridCol w:w="390"/>
        <w:gridCol w:w="322"/>
        <w:gridCol w:w="321"/>
        <w:gridCol w:w="322"/>
        <w:gridCol w:w="322"/>
        <w:gridCol w:w="321"/>
        <w:gridCol w:w="368"/>
        <w:gridCol w:w="322"/>
        <w:gridCol w:w="321"/>
        <w:gridCol w:w="321"/>
        <w:gridCol w:w="323"/>
        <w:gridCol w:w="322"/>
        <w:gridCol w:w="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17" w:type="dxa"/>
            <w:shd w:val="clear" w:color="auto" w:fill="auto"/>
            <w:vAlign w:val="bottom"/>
          </w:tcPr>
          <w:p>
            <w:pPr>
              <w:rPr>
                <w:rFonts w:hint="eastAsia" w:ascii="宋体" w:hAnsi="宋体" w:eastAsia="宋体" w:cs="宋体"/>
                <w:i w:val="0"/>
                <w:color w:val="000000"/>
                <w:sz w:val="18"/>
                <w:szCs w:val="18"/>
                <w:u w:val="none"/>
              </w:rPr>
            </w:pPr>
          </w:p>
        </w:tc>
        <w:tc>
          <w:tcPr>
            <w:tcW w:w="1375" w:type="dxa"/>
            <w:shd w:val="clear" w:color="auto" w:fill="auto"/>
            <w:vAlign w:val="bottom"/>
          </w:tcPr>
          <w:p>
            <w:pPr>
              <w:rPr>
                <w:rFonts w:hint="eastAsia" w:ascii="宋体" w:hAnsi="宋体" w:eastAsia="宋体" w:cs="宋体"/>
                <w:i w:val="0"/>
                <w:color w:val="000000"/>
                <w:sz w:val="18"/>
                <w:szCs w:val="18"/>
                <w:u w:val="none"/>
              </w:rPr>
            </w:pPr>
          </w:p>
        </w:tc>
        <w:tc>
          <w:tcPr>
            <w:tcW w:w="750" w:type="dxa"/>
            <w:shd w:val="clear" w:color="auto" w:fill="auto"/>
            <w:vAlign w:val="bottom"/>
          </w:tcPr>
          <w:p>
            <w:pPr>
              <w:rPr>
                <w:rFonts w:hint="eastAsia" w:ascii="宋体" w:hAnsi="宋体" w:eastAsia="宋体" w:cs="宋体"/>
                <w:i w:val="0"/>
                <w:color w:val="000000"/>
                <w:sz w:val="18"/>
                <w:szCs w:val="18"/>
                <w:u w:val="none"/>
              </w:rPr>
            </w:pPr>
          </w:p>
        </w:tc>
        <w:tc>
          <w:tcPr>
            <w:tcW w:w="750" w:type="dxa"/>
            <w:shd w:val="clear" w:color="auto" w:fill="auto"/>
            <w:vAlign w:val="bottom"/>
          </w:tcPr>
          <w:p>
            <w:pPr>
              <w:rPr>
                <w:rFonts w:hint="eastAsia" w:ascii="宋体" w:hAnsi="宋体" w:eastAsia="宋体" w:cs="宋体"/>
                <w:i w:val="0"/>
                <w:color w:val="000000"/>
                <w:sz w:val="18"/>
                <w:szCs w:val="18"/>
                <w:u w:val="none"/>
              </w:rPr>
            </w:pPr>
          </w:p>
        </w:tc>
        <w:tc>
          <w:tcPr>
            <w:tcW w:w="750"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87"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22" w:type="dxa"/>
            <w:shd w:val="clear" w:color="auto" w:fill="auto"/>
            <w:vAlign w:val="bottom"/>
          </w:tcPr>
          <w:p>
            <w:pPr>
              <w:rPr>
                <w:rFonts w:hint="eastAsia" w:ascii="宋体" w:hAnsi="宋体" w:eastAsia="宋体" w:cs="宋体"/>
                <w:i w:val="0"/>
                <w:color w:val="000000"/>
                <w:sz w:val="18"/>
                <w:szCs w:val="18"/>
                <w:u w:val="none"/>
              </w:rPr>
            </w:pPr>
          </w:p>
        </w:tc>
        <w:tc>
          <w:tcPr>
            <w:tcW w:w="429"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369"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429" w:type="dxa"/>
            <w:shd w:val="clear" w:color="auto" w:fill="auto"/>
            <w:vAlign w:val="bottom"/>
          </w:tcPr>
          <w:p>
            <w:pPr>
              <w:rPr>
                <w:rFonts w:hint="eastAsia" w:ascii="宋体" w:hAnsi="宋体" w:eastAsia="宋体" w:cs="宋体"/>
                <w:i w:val="0"/>
                <w:color w:val="000000"/>
                <w:sz w:val="18"/>
                <w:szCs w:val="18"/>
                <w:u w:val="none"/>
              </w:rPr>
            </w:pPr>
          </w:p>
        </w:tc>
        <w:tc>
          <w:tcPr>
            <w:tcW w:w="322"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68" w:type="dxa"/>
            <w:shd w:val="clear" w:color="auto" w:fill="auto"/>
            <w:vAlign w:val="bottom"/>
          </w:tcPr>
          <w:p>
            <w:pPr>
              <w:rPr>
                <w:rFonts w:hint="eastAsia" w:ascii="宋体" w:hAnsi="宋体" w:eastAsia="宋体" w:cs="宋体"/>
                <w:i w:val="0"/>
                <w:color w:val="000000"/>
                <w:sz w:val="18"/>
                <w:szCs w:val="18"/>
                <w:u w:val="none"/>
              </w:rPr>
            </w:pPr>
          </w:p>
        </w:tc>
        <w:tc>
          <w:tcPr>
            <w:tcW w:w="4366" w:type="dxa"/>
            <w:gridSpan w:val="1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988" w:type="dxa"/>
            <w:gridSpan w:val="32"/>
            <w:shd w:val="clear" w:color="auto" w:fill="auto"/>
            <w:vAlign w:val="bottom"/>
          </w:tcPr>
          <w:p>
            <w:pPr>
              <w:jc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枣庄市市直2019年部门预算收入预算表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17" w:type="dxa"/>
            <w:shd w:val="clear" w:color="auto" w:fill="auto"/>
            <w:vAlign w:val="bottom"/>
          </w:tcPr>
          <w:p>
            <w:pPr>
              <w:rPr>
                <w:rFonts w:hint="eastAsia" w:ascii="宋体" w:hAnsi="宋体" w:eastAsia="宋体" w:cs="宋体"/>
                <w:i w:val="0"/>
                <w:color w:val="000000"/>
                <w:sz w:val="18"/>
                <w:szCs w:val="18"/>
                <w:u w:val="none"/>
              </w:rPr>
            </w:pPr>
          </w:p>
        </w:tc>
        <w:tc>
          <w:tcPr>
            <w:tcW w:w="1375" w:type="dxa"/>
            <w:shd w:val="clear" w:color="auto" w:fill="auto"/>
            <w:vAlign w:val="bottom"/>
          </w:tcPr>
          <w:p>
            <w:pPr>
              <w:rPr>
                <w:rFonts w:hint="eastAsia" w:ascii="宋体" w:hAnsi="宋体" w:eastAsia="宋体" w:cs="宋体"/>
                <w:i w:val="0"/>
                <w:color w:val="000000"/>
                <w:sz w:val="18"/>
                <w:szCs w:val="18"/>
                <w:u w:val="none"/>
              </w:rPr>
            </w:pPr>
          </w:p>
        </w:tc>
        <w:tc>
          <w:tcPr>
            <w:tcW w:w="750" w:type="dxa"/>
            <w:shd w:val="clear" w:color="auto" w:fill="auto"/>
            <w:vAlign w:val="bottom"/>
          </w:tcPr>
          <w:p>
            <w:pPr>
              <w:rPr>
                <w:rFonts w:hint="eastAsia" w:ascii="宋体" w:hAnsi="宋体" w:eastAsia="宋体" w:cs="宋体"/>
                <w:i w:val="0"/>
                <w:color w:val="000000"/>
                <w:sz w:val="18"/>
                <w:szCs w:val="18"/>
                <w:u w:val="none"/>
              </w:rPr>
            </w:pPr>
          </w:p>
        </w:tc>
        <w:tc>
          <w:tcPr>
            <w:tcW w:w="750" w:type="dxa"/>
            <w:shd w:val="clear" w:color="auto" w:fill="auto"/>
            <w:vAlign w:val="bottom"/>
          </w:tcPr>
          <w:p>
            <w:pPr>
              <w:rPr>
                <w:rFonts w:hint="eastAsia" w:ascii="宋体" w:hAnsi="宋体" w:eastAsia="宋体" w:cs="宋体"/>
                <w:i w:val="0"/>
                <w:color w:val="000000"/>
                <w:sz w:val="18"/>
                <w:szCs w:val="18"/>
                <w:u w:val="none"/>
              </w:rPr>
            </w:pPr>
          </w:p>
        </w:tc>
        <w:tc>
          <w:tcPr>
            <w:tcW w:w="750"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87"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22" w:type="dxa"/>
            <w:shd w:val="clear" w:color="auto" w:fill="auto"/>
            <w:vAlign w:val="bottom"/>
          </w:tcPr>
          <w:p>
            <w:pPr>
              <w:rPr>
                <w:rFonts w:hint="eastAsia" w:ascii="宋体" w:hAnsi="宋体" w:eastAsia="宋体" w:cs="宋体"/>
                <w:i w:val="0"/>
                <w:color w:val="000000"/>
                <w:sz w:val="18"/>
                <w:szCs w:val="18"/>
                <w:u w:val="none"/>
              </w:rPr>
            </w:pPr>
          </w:p>
        </w:tc>
        <w:tc>
          <w:tcPr>
            <w:tcW w:w="429"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369"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429" w:type="dxa"/>
            <w:shd w:val="clear" w:color="auto" w:fill="auto"/>
            <w:vAlign w:val="bottom"/>
          </w:tcPr>
          <w:p>
            <w:pPr>
              <w:rPr>
                <w:rFonts w:hint="eastAsia" w:ascii="宋体" w:hAnsi="宋体" w:eastAsia="宋体" w:cs="宋体"/>
                <w:i w:val="0"/>
                <w:color w:val="000000"/>
                <w:sz w:val="18"/>
                <w:szCs w:val="18"/>
                <w:u w:val="none"/>
              </w:rPr>
            </w:pPr>
          </w:p>
        </w:tc>
        <w:tc>
          <w:tcPr>
            <w:tcW w:w="322"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68" w:type="dxa"/>
            <w:shd w:val="clear" w:color="auto" w:fill="auto"/>
            <w:vAlign w:val="bottom"/>
          </w:tcPr>
          <w:p>
            <w:pPr>
              <w:rPr>
                <w:rFonts w:hint="eastAsia" w:ascii="宋体" w:hAnsi="宋体" w:eastAsia="宋体" w:cs="宋体"/>
                <w:i w:val="0"/>
                <w:color w:val="000000"/>
                <w:sz w:val="18"/>
                <w:szCs w:val="18"/>
                <w:u w:val="none"/>
              </w:rPr>
            </w:pPr>
          </w:p>
        </w:tc>
        <w:tc>
          <w:tcPr>
            <w:tcW w:w="390" w:type="dxa"/>
            <w:shd w:val="clear" w:color="auto" w:fill="auto"/>
            <w:vAlign w:val="bottom"/>
          </w:tcPr>
          <w:p>
            <w:pPr>
              <w:rPr>
                <w:rFonts w:hint="eastAsia" w:ascii="宋体" w:hAnsi="宋体" w:eastAsia="宋体" w:cs="宋体"/>
                <w:i w:val="0"/>
                <w:color w:val="000000"/>
                <w:sz w:val="18"/>
                <w:szCs w:val="18"/>
                <w:u w:val="none"/>
              </w:rPr>
            </w:pPr>
          </w:p>
        </w:tc>
        <w:tc>
          <w:tcPr>
            <w:tcW w:w="322" w:type="dxa"/>
            <w:shd w:val="clear" w:color="auto" w:fill="auto"/>
            <w:vAlign w:val="bottom"/>
          </w:tcPr>
          <w:p>
            <w:pPr>
              <w:rPr>
                <w:rFonts w:hint="eastAsia" w:ascii="宋体" w:hAnsi="宋体" w:eastAsia="宋体" w:cs="宋体"/>
                <w:i w:val="0"/>
                <w:color w:val="000000"/>
                <w:sz w:val="18"/>
                <w:szCs w:val="18"/>
                <w:u w:val="none"/>
              </w:rPr>
            </w:pPr>
          </w:p>
        </w:tc>
        <w:tc>
          <w:tcPr>
            <w:tcW w:w="321" w:type="dxa"/>
            <w:shd w:val="clear" w:color="auto" w:fill="auto"/>
            <w:vAlign w:val="bottom"/>
          </w:tcPr>
          <w:p>
            <w:pPr>
              <w:rPr>
                <w:rFonts w:hint="eastAsia" w:ascii="宋体" w:hAnsi="宋体" w:eastAsia="宋体" w:cs="宋体"/>
                <w:i w:val="0"/>
                <w:color w:val="000000"/>
                <w:sz w:val="18"/>
                <w:szCs w:val="18"/>
                <w:u w:val="none"/>
              </w:rPr>
            </w:pPr>
          </w:p>
        </w:tc>
        <w:tc>
          <w:tcPr>
            <w:tcW w:w="3333" w:type="dxa"/>
            <w:gridSpan w:val="10"/>
            <w:shd w:val="clear" w:color="auto" w:fill="auto"/>
            <w:vAlign w:val="bottom"/>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单位编码</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单位名称</w:t>
            </w:r>
          </w:p>
        </w:tc>
        <w:tc>
          <w:tcPr>
            <w:tcW w:w="75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资金来源</w:t>
            </w:r>
          </w:p>
        </w:tc>
        <w:tc>
          <w:tcPr>
            <w:tcW w:w="750"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750"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87"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429"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90"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90"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69" w:type="dxa"/>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68"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90"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68" w:type="dxa"/>
            <w:tcBorders>
              <w:top w:val="single" w:color="000000" w:sz="4" w:space="0"/>
              <w:bottom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3" w:type="dxa"/>
            <w:tcBorders>
              <w:top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391" w:type="dxa"/>
            <w:tcBorders>
              <w:top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750"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总计</w:t>
            </w:r>
          </w:p>
        </w:tc>
        <w:tc>
          <w:tcPr>
            <w:tcW w:w="4381" w:type="dxa"/>
            <w:gridSpan w:val="10"/>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一般公共预算拨款（补助）</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纳入预算管理的政府性基金</w:t>
            </w:r>
          </w:p>
        </w:tc>
        <w:tc>
          <w:tcPr>
            <w:tcW w:w="322"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国有资本经营收入</w:t>
            </w:r>
          </w:p>
        </w:tc>
        <w:tc>
          <w:tcPr>
            <w:tcW w:w="3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专户资金</w:t>
            </w:r>
          </w:p>
        </w:tc>
        <w:tc>
          <w:tcPr>
            <w:tcW w:w="2734" w:type="dxa"/>
            <w:gridSpan w:val="8"/>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其他资金</w:t>
            </w:r>
          </w:p>
        </w:tc>
        <w:tc>
          <w:tcPr>
            <w:tcW w:w="322"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上年结转结余</w:t>
            </w:r>
          </w:p>
        </w:tc>
        <w:tc>
          <w:tcPr>
            <w:tcW w:w="321"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3"/>
                <w:szCs w:val="13"/>
                <w:u w:val="none"/>
              </w:rPr>
            </w:pPr>
          </w:p>
        </w:tc>
        <w:tc>
          <w:tcPr>
            <w:tcW w:w="321"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3"/>
                <w:szCs w:val="13"/>
                <w:u w:val="none"/>
              </w:rPr>
            </w:pPr>
          </w:p>
        </w:tc>
        <w:tc>
          <w:tcPr>
            <w:tcW w:w="323"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3"/>
                <w:szCs w:val="13"/>
                <w:u w:val="none"/>
              </w:rPr>
            </w:pPr>
          </w:p>
        </w:tc>
        <w:tc>
          <w:tcPr>
            <w:tcW w:w="322"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3"/>
                <w:szCs w:val="13"/>
                <w:u w:val="none"/>
              </w:rPr>
            </w:pPr>
          </w:p>
        </w:tc>
        <w:tc>
          <w:tcPr>
            <w:tcW w:w="391" w:type="dxa"/>
            <w:tcBorders>
              <w:top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750"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3"/>
                <w:szCs w:val="13"/>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一般公共预算拨款（补助）小计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经费拨款（补助）</w:t>
            </w:r>
          </w:p>
        </w:tc>
        <w:tc>
          <w:tcPr>
            <w:tcW w:w="3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专项收入</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纳入预算管理的行政性收费安排的拨款</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罚没收入安排的拨款</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捐赠收入</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国有资源（资产）有偿使用收入</w:t>
            </w:r>
          </w:p>
        </w:tc>
        <w:tc>
          <w:tcPr>
            <w:tcW w:w="32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政府住房基金收入</w:t>
            </w:r>
          </w:p>
        </w:tc>
        <w:tc>
          <w:tcPr>
            <w:tcW w:w="39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中央、省专项转移支付</w:t>
            </w:r>
          </w:p>
        </w:tc>
        <w:tc>
          <w:tcPr>
            <w:tcW w:w="39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中央、省一般转移支付</w:t>
            </w: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纳入预算管理的政府性基金小计</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经费拨款（补助）（预算内基金）</w:t>
            </w: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中央、省专项转移支付（预算内基金）</w:t>
            </w:r>
          </w:p>
        </w:tc>
        <w:tc>
          <w:tcPr>
            <w:tcW w:w="322"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3"/>
                <w:szCs w:val="13"/>
                <w:u w:val="none"/>
              </w:rPr>
            </w:pPr>
          </w:p>
        </w:tc>
        <w:tc>
          <w:tcPr>
            <w:tcW w:w="3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3"/>
                <w:szCs w:val="13"/>
                <w:u w:val="none"/>
              </w:rPr>
            </w:pPr>
          </w:p>
        </w:tc>
        <w:tc>
          <w:tcPr>
            <w:tcW w:w="368"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其他资金小计</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事业收入（不含预算外资金）</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事业单位经营收入</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其他收入</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上级补助收入</w:t>
            </w: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附属单位上缴收入</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用事业基金弥补收支差额</w:t>
            </w:r>
          </w:p>
        </w:tc>
        <w:tc>
          <w:tcPr>
            <w:tcW w:w="3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债务收入</w:t>
            </w:r>
          </w:p>
        </w:tc>
        <w:tc>
          <w:tcPr>
            <w:tcW w:w="32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上年结转结余小计</w:t>
            </w:r>
          </w:p>
        </w:tc>
        <w:tc>
          <w:tcPr>
            <w:tcW w:w="32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一般公共预算拨款的结转和结余</w:t>
            </w:r>
          </w:p>
        </w:tc>
        <w:tc>
          <w:tcPr>
            <w:tcW w:w="32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纳入预算管理的政府性基金结转结余</w:t>
            </w:r>
          </w:p>
        </w:tc>
        <w:tc>
          <w:tcPr>
            <w:tcW w:w="323"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国有资本经营收入结转结余</w:t>
            </w:r>
          </w:p>
        </w:tc>
        <w:tc>
          <w:tcPr>
            <w:tcW w:w="3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专户资金结转结余</w:t>
            </w:r>
          </w:p>
        </w:tc>
        <w:tc>
          <w:tcPr>
            <w:tcW w:w="391"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w:t>
            </w:r>
          </w:p>
        </w:tc>
        <w:tc>
          <w:tcPr>
            <w:tcW w:w="7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w:t>
            </w:r>
          </w:p>
        </w:tc>
        <w:tc>
          <w:tcPr>
            <w:tcW w:w="3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w:t>
            </w:r>
          </w:p>
        </w:tc>
        <w:tc>
          <w:tcPr>
            <w:tcW w:w="4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w:t>
            </w:r>
          </w:p>
        </w:tc>
        <w:tc>
          <w:tcPr>
            <w:tcW w:w="3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w:t>
            </w:r>
          </w:p>
        </w:tc>
        <w:tc>
          <w:tcPr>
            <w:tcW w:w="3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w:t>
            </w:r>
          </w:p>
        </w:tc>
        <w:tc>
          <w:tcPr>
            <w:tcW w:w="3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w:t>
            </w:r>
          </w:p>
        </w:tc>
        <w:tc>
          <w:tcPr>
            <w:tcW w:w="3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w:t>
            </w:r>
          </w:p>
        </w:tc>
        <w:tc>
          <w:tcPr>
            <w:tcW w:w="42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15</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16</w:t>
            </w:r>
          </w:p>
        </w:tc>
        <w:tc>
          <w:tcPr>
            <w:tcW w:w="3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w:t>
            </w:r>
          </w:p>
        </w:tc>
        <w:tc>
          <w:tcPr>
            <w:tcW w:w="39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20</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22</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23</w:t>
            </w:r>
          </w:p>
        </w:tc>
        <w:tc>
          <w:tcPr>
            <w:tcW w:w="3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24</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25</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26</w:t>
            </w:r>
          </w:p>
        </w:tc>
        <w:tc>
          <w:tcPr>
            <w:tcW w:w="3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27</w:t>
            </w:r>
          </w:p>
        </w:tc>
        <w:tc>
          <w:tcPr>
            <w:tcW w:w="32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28</w:t>
            </w:r>
          </w:p>
        </w:tc>
        <w:tc>
          <w:tcPr>
            <w:tcW w:w="3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29</w:t>
            </w:r>
          </w:p>
        </w:tc>
        <w:tc>
          <w:tcPr>
            <w:tcW w:w="3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3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合计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3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工业贸易科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601</w:t>
            </w:r>
          </w:p>
        </w:tc>
        <w:tc>
          <w:tcPr>
            <w:tcW w:w="13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枣庄市商务局</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601001</w:t>
            </w:r>
          </w:p>
        </w:tc>
        <w:tc>
          <w:tcPr>
            <w:tcW w:w="13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枣庄市商务局机关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1,129.24</w:t>
            </w: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jc w:val="left"/>
      </w:pPr>
      <w:r>
        <w:br w:type="page"/>
      </w:r>
    </w:p>
    <w:p>
      <w:pPr>
        <w:rPr>
          <w:rFonts w:ascii="Times New Roman" w:hAnsi="Times New Roman" w:cs="Times New Roman"/>
        </w:rPr>
      </w:pPr>
      <w:bookmarkStart w:id="1" w:name="RANGE!A1:Q7"/>
      <w:bookmarkEnd w:id="1"/>
      <w:r>
        <w:t xml:space="preserve"> </w:t>
      </w:r>
    </w:p>
    <w:tbl>
      <w:tblPr>
        <w:tblStyle w:val="4"/>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9"/>
        <w:gridCol w:w="992"/>
        <w:gridCol w:w="909"/>
        <w:gridCol w:w="618"/>
        <w:gridCol w:w="617"/>
        <w:gridCol w:w="812"/>
        <w:gridCol w:w="812"/>
        <w:gridCol w:w="812"/>
        <w:gridCol w:w="228"/>
        <w:gridCol w:w="227"/>
        <w:gridCol w:w="228"/>
        <w:gridCol w:w="227"/>
        <w:gridCol w:w="422"/>
        <w:gridCol w:w="228"/>
        <w:gridCol w:w="422"/>
        <w:gridCol w:w="422"/>
        <w:gridCol w:w="228"/>
        <w:gridCol w:w="423"/>
        <w:gridCol w:w="423"/>
        <w:gridCol w:w="227"/>
        <w:gridCol w:w="227"/>
        <w:gridCol w:w="228"/>
        <w:gridCol w:w="422"/>
        <w:gridCol w:w="228"/>
        <w:gridCol w:w="227"/>
        <w:gridCol w:w="228"/>
        <w:gridCol w:w="227"/>
        <w:gridCol w:w="228"/>
        <w:gridCol w:w="227"/>
        <w:gridCol w:w="228"/>
        <w:gridCol w:w="227"/>
        <w:gridCol w:w="227"/>
        <w:gridCol w:w="228"/>
        <w:gridCol w:w="227"/>
        <w:gridCol w:w="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09" w:type="dxa"/>
            <w:shd w:val="clear" w:color="auto" w:fill="auto"/>
            <w:vAlign w:val="bottom"/>
          </w:tcPr>
          <w:p>
            <w:pPr>
              <w:rPr>
                <w:rFonts w:hint="eastAsia" w:ascii="宋体" w:hAnsi="宋体" w:eastAsia="宋体" w:cs="宋体"/>
                <w:i w:val="0"/>
                <w:color w:val="000000"/>
                <w:sz w:val="18"/>
                <w:szCs w:val="18"/>
                <w:u w:val="none"/>
              </w:rPr>
            </w:pPr>
          </w:p>
        </w:tc>
        <w:tc>
          <w:tcPr>
            <w:tcW w:w="992" w:type="dxa"/>
            <w:shd w:val="clear" w:color="auto" w:fill="auto"/>
            <w:vAlign w:val="bottom"/>
          </w:tcPr>
          <w:p>
            <w:pPr>
              <w:rPr>
                <w:rFonts w:hint="eastAsia" w:ascii="宋体" w:hAnsi="宋体" w:eastAsia="宋体" w:cs="宋体"/>
                <w:i w:val="0"/>
                <w:color w:val="000000"/>
                <w:sz w:val="18"/>
                <w:szCs w:val="18"/>
                <w:u w:val="none"/>
              </w:rPr>
            </w:pPr>
          </w:p>
        </w:tc>
        <w:tc>
          <w:tcPr>
            <w:tcW w:w="909" w:type="dxa"/>
            <w:shd w:val="clear" w:color="auto" w:fill="auto"/>
            <w:vAlign w:val="bottom"/>
          </w:tcPr>
          <w:p>
            <w:pPr>
              <w:rPr>
                <w:rFonts w:hint="eastAsia" w:ascii="宋体" w:hAnsi="宋体" w:eastAsia="宋体" w:cs="宋体"/>
                <w:i w:val="0"/>
                <w:color w:val="000000"/>
                <w:sz w:val="18"/>
                <w:szCs w:val="18"/>
                <w:u w:val="none"/>
              </w:rPr>
            </w:pPr>
          </w:p>
        </w:tc>
        <w:tc>
          <w:tcPr>
            <w:tcW w:w="618" w:type="dxa"/>
            <w:shd w:val="clear" w:color="auto" w:fill="auto"/>
            <w:vAlign w:val="bottom"/>
          </w:tcPr>
          <w:p>
            <w:pPr>
              <w:rPr>
                <w:rFonts w:hint="eastAsia" w:ascii="宋体" w:hAnsi="宋体" w:eastAsia="宋体" w:cs="宋体"/>
                <w:i w:val="0"/>
                <w:color w:val="000000"/>
                <w:sz w:val="18"/>
                <w:szCs w:val="18"/>
                <w:u w:val="none"/>
              </w:rPr>
            </w:pPr>
          </w:p>
        </w:tc>
        <w:tc>
          <w:tcPr>
            <w:tcW w:w="617" w:type="dxa"/>
            <w:shd w:val="clear" w:color="auto" w:fill="auto"/>
            <w:vAlign w:val="bottom"/>
          </w:tcPr>
          <w:p>
            <w:pPr>
              <w:rPr>
                <w:rFonts w:hint="eastAsia" w:ascii="宋体" w:hAnsi="宋体" w:eastAsia="宋体" w:cs="宋体"/>
                <w:i w:val="0"/>
                <w:color w:val="000000"/>
                <w:sz w:val="18"/>
                <w:szCs w:val="18"/>
                <w:u w:val="none"/>
              </w:rPr>
            </w:pPr>
          </w:p>
        </w:tc>
        <w:tc>
          <w:tcPr>
            <w:tcW w:w="812" w:type="dxa"/>
            <w:shd w:val="clear" w:color="auto" w:fill="auto"/>
            <w:vAlign w:val="bottom"/>
          </w:tcPr>
          <w:p>
            <w:pPr>
              <w:rPr>
                <w:rFonts w:hint="eastAsia" w:ascii="宋体" w:hAnsi="宋体" w:eastAsia="宋体" w:cs="宋体"/>
                <w:i w:val="0"/>
                <w:color w:val="000000"/>
                <w:sz w:val="18"/>
                <w:szCs w:val="18"/>
                <w:u w:val="none"/>
              </w:rPr>
            </w:pPr>
          </w:p>
        </w:tc>
        <w:tc>
          <w:tcPr>
            <w:tcW w:w="812" w:type="dxa"/>
            <w:shd w:val="clear" w:color="auto" w:fill="auto"/>
            <w:vAlign w:val="bottom"/>
          </w:tcPr>
          <w:p>
            <w:pPr>
              <w:rPr>
                <w:rFonts w:hint="eastAsia" w:ascii="宋体" w:hAnsi="宋体" w:eastAsia="宋体" w:cs="宋体"/>
                <w:i w:val="0"/>
                <w:color w:val="000000"/>
                <w:sz w:val="18"/>
                <w:szCs w:val="18"/>
                <w:u w:val="none"/>
              </w:rPr>
            </w:pPr>
          </w:p>
        </w:tc>
        <w:tc>
          <w:tcPr>
            <w:tcW w:w="81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423" w:type="dxa"/>
            <w:shd w:val="clear" w:color="auto" w:fill="auto"/>
            <w:vAlign w:val="bottom"/>
          </w:tcPr>
          <w:p>
            <w:pPr>
              <w:rPr>
                <w:rFonts w:hint="eastAsia" w:ascii="宋体" w:hAnsi="宋体" w:eastAsia="宋体" w:cs="宋体"/>
                <w:i w:val="0"/>
                <w:color w:val="000000"/>
                <w:sz w:val="18"/>
                <w:szCs w:val="18"/>
                <w:u w:val="none"/>
              </w:rPr>
            </w:pPr>
          </w:p>
        </w:tc>
        <w:tc>
          <w:tcPr>
            <w:tcW w:w="423"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2925" w:type="dxa"/>
            <w:gridSpan w:val="12"/>
            <w:shd w:val="clear" w:color="auto" w:fill="auto"/>
            <w:vAlign w:val="bottom"/>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预算批复0</w:t>
            </w:r>
            <w:r>
              <w:rPr>
                <w:rStyle w:val="11"/>
                <w:lang w:val="en-US" w:eastAsia="zh-CN" w:bidi="ar"/>
              </w:rPr>
              <w:t>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3988" w:type="dxa"/>
            <w:gridSpan w:val="35"/>
            <w:shd w:val="clear" w:color="auto" w:fill="auto"/>
            <w:vAlign w:val="bottom"/>
          </w:tcPr>
          <w:p>
            <w:pPr>
              <w:jc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枣庄市市直2019年部门预算支出预算明细表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09" w:type="dxa"/>
            <w:shd w:val="clear" w:color="auto" w:fill="auto"/>
            <w:vAlign w:val="bottom"/>
          </w:tcPr>
          <w:p>
            <w:pPr>
              <w:rPr>
                <w:rFonts w:hint="eastAsia" w:ascii="宋体" w:hAnsi="宋体" w:eastAsia="宋体" w:cs="宋体"/>
                <w:i w:val="0"/>
                <w:color w:val="000000"/>
                <w:sz w:val="18"/>
                <w:szCs w:val="18"/>
                <w:u w:val="none"/>
              </w:rPr>
            </w:pPr>
          </w:p>
        </w:tc>
        <w:tc>
          <w:tcPr>
            <w:tcW w:w="992" w:type="dxa"/>
            <w:shd w:val="clear" w:color="auto" w:fill="auto"/>
            <w:vAlign w:val="bottom"/>
          </w:tcPr>
          <w:p>
            <w:pPr>
              <w:rPr>
                <w:rFonts w:hint="eastAsia" w:ascii="宋体" w:hAnsi="宋体" w:eastAsia="宋体" w:cs="宋体"/>
                <w:i w:val="0"/>
                <w:color w:val="000000"/>
                <w:sz w:val="18"/>
                <w:szCs w:val="18"/>
                <w:u w:val="none"/>
              </w:rPr>
            </w:pPr>
          </w:p>
        </w:tc>
        <w:tc>
          <w:tcPr>
            <w:tcW w:w="909" w:type="dxa"/>
            <w:shd w:val="clear" w:color="auto" w:fill="auto"/>
            <w:vAlign w:val="bottom"/>
          </w:tcPr>
          <w:p>
            <w:pPr>
              <w:rPr>
                <w:rFonts w:hint="eastAsia" w:ascii="宋体" w:hAnsi="宋体" w:eastAsia="宋体" w:cs="宋体"/>
                <w:i w:val="0"/>
                <w:color w:val="000000"/>
                <w:sz w:val="18"/>
                <w:szCs w:val="18"/>
                <w:u w:val="none"/>
              </w:rPr>
            </w:pPr>
          </w:p>
        </w:tc>
        <w:tc>
          <w:tcPr>
            <w:tcW w:w="618" w:type="dxa"/>
            <w:shd w:val="clear" w:color="auto" w:fill="auto"/>
            <w:vAlign w:val="bottom"/>
          </w:tcPr>
          <w:p>
            <w:pPr>
              <w:rPr>
                <w:rFonts w:hint="eastAsia" w:ascii="宋体" w:hAnsi="宋体" w:eastAsia="宋体" w:cs="宋体"/>
                <w:i w:val="0"/>
                <w:color w:val="000000"/>
                <w:sz w:val="18"/>
                <w:szCs w:val="18"/>
                <w:u w:val="none"/>
              </w:rPr>
            </w:pPr>
          </w:p>
        </w:tc>
        <w:tc>
          <w:tcPr>
            <w:tcW w:w="617" w:type="dxa"/>
            <w:shd w:val="clear" w:color="auto" w:fill="auto"/>
            <w:vAlign w:val="bottom"/>
          </w:tcPr>
          <w:p>
            <w:pPr>
              <w:rPr>
                <w:rFonts w:hint="eastAsia" w:ascii="宋体" w:hAnsi="宋体" w:eastAsia="宋体" w:cs="宋体"/>
                <w:i w:val="0"/>
                <w:color w:val="000000"/>
                <w:sz w:val="18"/>
                <w:szCs w:val="18"/>
                <w:u w:val="none"/>
              </w:rPr>
            </w:pPr>
          </w:p>
        </w:tc>
        <w:tc>
          <w:tcPr>
            <w:tcW w:w="812" w:type="dxa"/>
            <w:shd w:val="clear" w:color="auto" w:fill="auto"/>
            <w:vAlign w:val="bottom"/>
          </w:tcPr>
          <w:p>
            <w:pPr>
              <w:rPr>
                <w:rFonts w:hint="eastAsia" w:ascii="宋体" w:hAnsi="宋体" w:eastAsia="宋体" w:cs="宋体"/>
                <w:i w:val="0"/>
                <w:color w:val="000000"/>
                <w:sz w:val="18"/>
                <w:szCs w:val="18"/>
                <w:u w:val="none"/>
              </w:rPr>
            </w:pPr>
          </w:p>
        </w:tc>
        <w:tc>
          <w:tcPr>
            <w:tcW w:w="812" w:type="dxa"/>
            <w:shd w:val="clear" w:color="auto" w:fill="auto"/>
            <w:vAlign w:val="bottom"/>
          </w:tcPr>
          <w:p>
            <w:pPr>
              <w:rPr>
                <w:rFonts w:hint="eastAsia" w:ascii="宋体" w:hAnsi="宋体" w:eastAsia="宋体" w:cs="宋体"/>
                <w:i w:val="0"/>
                <w:color w:val="000000"/>
                <w:sz w:val="18"/>
                <w:szCs w:val="18"/>
                <w:u w:val="none"/>
              </w:rPr>
            </w:pPr>
          </w:p>
        </w:tc>
        <w:tc>
          <w:tcPr>
            <w:tcW w:w="81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423" w:type="dxa"/>
            <w:shd w:val="clear" w:color="auto" w:fill="auto"/>
            <w:vAlign w:val="bottom"/>
          </w:tcPr>
          <w:p>
            <w:pPr>
              <w:rPr>
                <w:rFonts w:hint="eastAsia" w:ascii="宋体" w:hAnsi="宋体" w:eastAsia="宋体" w:cs="宋体"/>
                <w:i w:val="0"/>
                <w:color w:val="000000"/>
                <w:sz w:val="18"/>
                <w:szCs w:val="18"/>
                <w:u w:val="none"/>
              </w:rPr>
            </w:pPr>
          </w:p>
        </w:tc>
        <w:tc>
          <w:tcPr>
            <w:tcW w:w="423"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422"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227" w:type="dxa"/>
            <w:shd w:val="clear" w:color="auto" w:fill="auto"/>
            <w:vAlign w:val="bottom"/>
          </w:tcPr>
          <w:p>
            <w:pPr>
              <w:rPr>
                <w:rFonts w:hint="eastAsia" w:ascii="宋体" w:hAnsi="宋体" w:eastAsia="宋体" w:cs="宋体"/>
                <w:i w:val="0"/>
                <w:color w:val="000000"/>
                <w:sz w:val="18"/>
                <w:szCs w:val="18"/>
                <w:u w:val="none"/>
              </w:rPr>
            </w:pPr>
          </w:p>
        </w:tc>
        <w:tc>
          <w:tcPr>
            <w:tcW w:w="228" w:type="dxa"/>
            <w:shd w:val="clear" w:color="auto" w:fill="auto"/>
            <w:vAlign w:val="bottom"/>
          </w:tcPr>
          <w:p>
            <w:pPr>
              <w:rPr>
                <w:rFonts w:hint="eastAsia" w:ascii="宋体" w:hAnsi="宋体" w:eastAsia="宋体" w:cs="宋体"/>
                <w:i w:val="0"/>
                <w:color w:val="000000"/>
                <w:sz w:val="18"/>
                <w:szCs w:val="18"/>
                <w:u w:val="none"/>
              </w:rPr>
            </w:pPr>
          </w:p>
        </w:tc>
        <w:tc>
          <w:tcPr>
            <w:tcW w:w="2242" w:type="dxa"/>
            <w:gridSpan w:val="9"/>
            <w:shd w:val="clear" w:color="auto" w:fill="auto"/>
            <w:vAlign w:val="bottom"/>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项目类别</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项目名称</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功能科目</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政府经济科目</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部门经济科目</w:t>
            </w:r>
          </w:p>
        </w:tc>
        <w:tc>
          <w:tcPr>
            <w:tcW w:w="9943" w:type="dxa"/>
            <w:gridSpan w:val="3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57"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812"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总计</w:t>
            </w:r>
          </w:p>
        </w:tc>
        <w:tc>
          <w:tcPr>
            <w:tcW w:w="4028" w:type="dxa"/>
            <w:gridSpan w:val="10"/>
            <w:tcBorders>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一般公共预算拨款（补助）</w:t>
            </w:r>
          </w:p>
        </w:tc>
        <w:tc>
          <w:tcPr>
            <w:tcW w:w="107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纳入预算管理政府性基金</w:t>
            </w:r>
          </w:p>
        </w:tc>
        <w:tc>
          <w:tcPr>
            <w:tcW w:w="227" w:type="dxa"/>
            <w:vMerge w:val="restart"/>
            <w:tcBorders>
              <w:top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国有资本经营收入</w:t>
            </w:r>
          </w:p>
        </w:tc>
        <w:tc>
          <w:tcPr>
            <w:tcW w:w="2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专户资金</w:t>
            </w:r>
          </w:p>
        </w:tc>
        <w:tc>
          <w:tcPr>
            <w:tcW w:w="201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其他资金</w:t>
            </w:r>
          </w:p>
        </w:tc>
        <w:tc>
          <w:tcPr>
            <w:tcW w:w="228"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上年结转结余</w:t>
            </w:r>
          </w:p>
        </w:tc>
        <w:tc>
          <w:tcPr>
            <w:tcW w:w="227"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27"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2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27"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423" w:type="dxa"/>
            <w:tcBorders>
              <w:top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812"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p>
        </w:tc>
        <w:tc>
          <w:tcPr>
            <w:tcW w:w="81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一般公共预算拨款（补助）小计</w:t>
            </w:r>
          </w:p>
        </w:tc>
        <w:tc>
          <w:tcPr>
            <w:tcW w:w="81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经费拨款（补助）</w:t>
            </w:r>
          </w:p>
        </w:tc>
        <w:tc>
          <w:tcPr>
            <w:tcW w:w="22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专项收入</w:t>
            </w:r>
          </w:p>
        </w:tc>
        <w:tc>
          <w:tcPr>
            <w:tcW w:w="22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纳入预算管理的行政性收费安排的拨款</w:t>
            </w:r>
          </w:p>
        </w:tc>
        <w:tc>
          <w:tcPr>
            <w:tcW w:w="22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罚没收入安排的拨款</w:t>
            </w:r>
          </w:p>
        </w:tc>
        <w:tc>
          <w:tcPr>
            <w:tcW w:w="22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捐赠收入</w:t>
            </w:r>
          </w:p>
        </w:tc>
        <w:tc>
          <w:tcPr>
            <w:tcW w:w="422"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国有资源（资产）有偿使用收入</w:t>
            </w:r>
          </w:p>
        </w:tc>
        <w:tc>
          <w:tcPr>
            <w:tcW w:w="228"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政府住房基金收入</w:t>
            </w:r>
          </w:p>
        </w:tc>
        <w:tc>
          <w:tcPr>
            <w:tcW w:w="422"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中央、省专项转移支付</w:t>
            </w:r>
          </w:p>
        </w:tc>
        <w:tc>
          <w:tcPr>
            <w:tcW w:w="422" w:type="dxa"/>
            <w:tcBorders>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中央、省一般转移支付</w:t>
            </w:r>
          </w:p>
        </w:tc>
        <w:tc>
          <w:tcPr>
            <w:tcW w:w="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纳入预算管理政府性基金小计</w:t>
            </w:r>
          </w:p>
        </w:tc>
        <w:tc>
          <w:tcPr>
            <w:tcW w:w="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经费拨款（补助）（预算内基金）</w:t>
            </w:r>
          </w:p>
        </w:tc>
        <w:tc>
          <w:tcPr>
            <w:tcW w:w="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中央、省专项转移支付（预算内基金）</w:t>
            </w:r>
          </w:p>
        </w:tc>
        <w:tc>
          <w:tcPr>
            <w:tcW w:w="227" w:type="dxa"/>
            <w:vMerge w:val="continue"/>
            <w:tcBorders>
              <w:top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p>
        </w:tc>
        <w:tc>
          <w:tcPr>
            <w:tcW w:w="2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其他资金小计</w:t>
            </w:r>
          </w:p>
        </w:tc>
        <w:tc>
          <w:tcPr>
            <w:tcW w:w="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事业收入（不含预算外资金）</w:t>
            </w:r>
          </w:p>
        </w:tc>
        <w:tc>
          <w:tcPr>
            <w:tcW w:w="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事业单位经营收入</w:t>
            </w:r>
          </w:p>
        </w:tc>
        <w:tc>
          <w:tcPr>
            <w:tcW w:w="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其他收入</w:t>
            </w:r>
          </w:p>
        </w:tc>
        <w:tc>
          <w:tcPr>
            <w:tcW w:w="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上级补助收入</w:t>
            </w:r>
          </w:p>
        </w:tc>
        <w:tc>
          <w:tcPr>
            <w:tcW w:w="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附属单位上缴收入</w:t>
            </w:r>
          </w:p>
        </w:tc>
        <w:tc>
          <w:tcPr>
            <w:tcW w:w="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用事业基金弥补收支差额</w:t>
            </w:r>
          </w:p>
        </w:tc>
        <w:tc>
          <w:tcPr>
            <w:tcW w:w="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债务收入</w:t>
            </w:r>
          </w:p>
        </w:tc>
        <w:tc>
          <w:tcPr>
            <w:tcW w:w="22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上年结转结余小计</w:t>
            </w:r>
          </w:p>
        </w:tc>
        <w:tc>
          <w:tcPr>
            <w:tcW w:w="22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一般公共预算拨款的结转和结余</w:t>
            </w:r>
          </w:p>
        </w:tc>
        <w:tc>
          <w:tcPr>
            <w:tcW w:w="22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纳入预算管理的政府性基金结转结余</w:t>
            </w:r>
          </w:p>
        </w:tc>
        <w:tc>
          <w:tcPr>
            <w:tcW w:w="22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国有资本经营收入结转结余</w:t>
            </w:r>
          </w:p>
        </w:tc>
        <w:tc>
          <w:tcPr>
            <w:tcW w:w="22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专户资金结转结余</w:t>
            </w:r>
          </w:p>
        </w:tc>
        <w:tc>
          <w:tcPr>
            <w:tcW w:w="423"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8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2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2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2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2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42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合计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工业贸易科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601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枣庄市商务局</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1,129.24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601001001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枣庄市商务局（机关）</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807.47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807.47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807.47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基本支出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716.47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716.47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716.47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工资福利支出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594.35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594.35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594.35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工资性支出</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417.77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417.77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417.77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基本工资</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182.51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182.51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182.51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津贴补贴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137.03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137.03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137.03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特殊岗位津贴补贴(需考核)</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在职住房补贴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63.88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63.88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63.88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在职取暖补贴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10.01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在职物业补贴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工资奖金津补贴</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年终一次性奖金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14.77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公务员医疗补助缴费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[2101103]公务员医疗补助</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社会保障缴费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公务员医疗补助缴费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机关事业单位基本养老保险缴费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[2080505]机关事业单位基本养老保险缴费支出</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65.80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社会保障缴费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机关事业单位基本养老保险缴费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65.80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其他工资福利支出</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独生子女费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其他社会保障缴费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社会保障缴费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事业人员失业保险金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社会保障缴费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工伤保险金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职工基本医疗保险</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[2101101]行政单位医疗</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社会保障缴费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城镇职工基本医疗保险缴费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职业年金缴费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[2080506]机关事业单位职业年金缴费支出</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26.32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社会保障缴费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职业年金缴费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26.32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住房公积金</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[2210201]住房公积金</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住房公积金</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住房公积金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46.16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对个人和家庭补助</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54.10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54.10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54.10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奖励金</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13.45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13.45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13.45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社会福利和救助</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奖励金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13.45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13.45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13.45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离休费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离退休费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离休采暖补贴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其他对个人和家庭的补助</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其他对个人和家庭的补助</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其他对个人和家庭的补助</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生活补助</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社会福利和救助</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遗属生活补助</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6.49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退休费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离退休费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退休采暖补贴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退职（役）费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离退休费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退职（役）费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商品和服务支出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68.02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68.02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68.02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公共交通补贴（定额）</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其他交通费用</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培训费（定额）</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[2050803]培训支出</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培训费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培训费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6.16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一般商品和服务支出</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[2011301]行政运行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28.69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28.69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28.69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办公费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邮电费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差旅费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会议费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会议费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公务接待费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公务接待费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0.69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工会经费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8.21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福利费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1.39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公务用车运行维护费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公务用车运行维护费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项目支出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业务类项目支出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91.00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差旅费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[2011302]一般行政管理事务</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差旅费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会议费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[2011302]一般行政管理事务</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会议费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会议费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因公出国（境）费用</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[2011302]一般行政管理事务</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因公出国（境）费用</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因公出国（境）费用</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印刷费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[2011302]一般行政管理事务</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印刷费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招商业务费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[2011302]一般行政管理事务</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其他商品和服务支出</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租赁费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[2011302]一般行政管理事务</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办公经费</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办公费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601001002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枣庄市商务局（事业）</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321.77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基本支出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321.77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321.77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工资福利支出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304.33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304.33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304.33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工资性支出</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[2011350]事业运行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212.87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基本工资</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95.46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95.46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95.46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在职住房补贴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33.41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33.41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33.41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在职取暖补贴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4.98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在职物业补贴</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4.19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4.19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年终一次性奖金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7.72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绩效工资</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67.11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67.11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67.11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公务员医疗补助缴费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[2101103]公务员医疗补助</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公务员医疗补助缴费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机关事业单位基本养老保险缴费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[2080505]机关事业单位基本养老保险缴费支出</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33.50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33.50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33.50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机关事业单位基本养老保险缴费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33.50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33.50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33.50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其他工资福利支出</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[2011350]事业运行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独生子女费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0.04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其他社会保障缴费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[2011350]事业运行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2.52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2.52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事业人员失业保险金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工伤保险金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0.84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0.84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0.84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职工基本医疗保险</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[2101102]事业单位医疗</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城镇职工基本医疗保险缴费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11.73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11.73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职业年金缴费</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[2080506]机关事业单位职业年金缴费支出</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职业年金缴费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13.40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住房公积金</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[2210201]住房公积金</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工资福利支出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住房公积金</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23.57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23.57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商品和服务支出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909"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17.44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17.44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17.44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培训费（定额）</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[2050803]培训支出</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培训费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一般商品和服务支出</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[2011350]事业运行</w:t>
            </w:r>
          </w:p>
        </w:tc>
        <w:tc>
          <w:tcPr>
            <w:tcW w:w="61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小计</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办公费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1.06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1.06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邮电费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差旅费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会议费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公务接待费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0.34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0.34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工会经费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6"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福利费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0.18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0.18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90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w:t>
            </w:r>
          </w:p>
        </w:tc>
        <w:tc>
          <w:tcPr>
            <w:tcW w:w="6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商品和服务支出</w:t>
            </w:r>
          </w:p>
        </w:tc>
        <w:tc>
          <w:tcPr>
            <w:tcW w:w="617"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            公务用车运行维护费</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jc w:val="left"/>
      </w:pPr>
      <w:r>
        <w:br w:type="page"/>
      </w:r>
    </w:p>
    <w:p>
      <w:pPr>
        <w:rPr>
          <w:rFonts w:ascii="Times New Roman" w:hAnsi="Times New Roman" w:cs="Times New Roman"/>
        </w:rPr>
      </w:pPr>
      <w:bookmarkStart w:id="2" w:name="RANGE!A1:K7"/>
      <w:bookmarkEnd w:id="2"/>
      <w:r>
        <w:t xml:space="preserve"> </w:t>
      </w:r>
    </w:p>
    <w:tbl>
      <w:tblPr>
        <w:tblStyle w:val="4"/>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15"/>
        <w:gridCol w:w="278"/>
        <w:gridCol w:w="279"/>
        <w:gridCol w:w="278"/>
        <w:gridCol w:w="278"/>
        <w:gridCol w:w="278"/>
        <w:gridCol w:w="279"/>
        <w:gridCol w:w="278"/>
        <w:gridCol w:w="278"/>
        <w:gridCol w:w="517"/>
        <w:gridCol w:w="517"/>
        <w:gridCol w:w="278"/>
        <w:gridCol w:w="278"/>
        <w:gridCol w:w="278"/>
        <w:gridCol w:w="279"/>
        <w:gridCol w:w="516"/>
        <w:gridCol w:w="279"/>
        <w:gridCol w:w="516"/>
        <w:gridCol w:w="517"/>
        <w:gridCol w:w="278"/>
        <w:gridCol w:w="517"/>
        <w:gridCol w:w="517"/>
        <w:gridCol w:w="278"/>
        <w:gridCol w:w="278"/>
        <w:gridCol w:w="278"/>
        <w:gridCol w:w="1"/>
        <w:gridCol w:w="516"/>
        <w:gridCol w:w="278"/>
        <w:gridCol w:w="1"/>
        <w:gridCol w:w="277"/>
        <w:gridCol w:w="1"/>
        <w:gridCol w:w="278"/>
        <w:gridCol w:w="318"/>
        <w:gridCol w:w="238"/>
        <w:gridCol w:w="278"/>
        <w:gridCol w:w="279"/>
        <w:gridCol w:w="278"/>
        <w:gridCol w:w="278"/>
        <w:gridCol w:w="278"/>
        <w:gridCol w:w="279"/>
        <w:gridCol w:w="27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215"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shd w:val="clear" w:color="auto" w:fill="auto"/>
            <w:vAlign w:val="center"/>
          </w:tcPr>
          <w:p>
            <w:pPr>
              <w:jc w:val="left"/>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right"/>
              <w:rPr>
                <w:rFonts w:hint="eastAsia" w:ascii="宋体" w:hAnsi="宋体" w:eastAsia="宋体" w:cs="宋体"/>
                <w:i w:val="0"/>
                <w:color w:val="000000"/>
                <w:sz w:val="11"/>
                <w:szCs w:val="11"/>
                <w:u w:val="none"/>
              </w:rPr>
            </w:pPr>
          </w:p>
        </w:tc>
        <w:tc>
          <w:tcPr>
            <w:tcW w:w="517" w:type="dxa"/>
            <w:shd w:val="clear" w:color="auto" w:fill="auto"/>
            <w:vAlign w:val="center"/>
          </w:tcPr>
          <w:p>
            <w:pPr>
              <w:jc w:val="right"/>
              <w:rPr>
                <w:rFonts w:hint="eastAsia" w:ascii="宋体" w:hAnsi="宋体" w:eastAsia="宋体" w:cs="宋体"/>
                <w:i w:val="0"/>
                <w:color w:val="000000"/>
                <w:sz w:val="11"/>
                <w:szCs w:val="11"/>
                <w:u w:val="none"/>
              </w:rPr>
            </w:pPr>
          </w:p>
        </w:tc>
        <w:tc>
          <w:tcPr>
            <w:tcW w:w="517" w:type="dxa"/>
            <w:shd w:val="clear" w:color="auto" w:fill="auto"/>
            <w:vAlign w:val="center"/>
          </w:tcPr>
          <w:p>
            <w:pPr>
              <w:jc w:val="right"/>
              <w:rPr>
                <w:rFonts w:hint="eastAsia" w:ascii="宋体" w:hAnsi="宋体" w:eastAsia="宋体" w:cs="宋体"/>
                <w:i w:val="0"/>
                <w:color w:val="000000"/>
                <w:sz w:val="11"/>
                <w:szCs w:val="11"/>
                <w:u w:val="none"/>
              </w:rPr>
            </w:pPr>
          </w:p>
        </w:tc>
        <w:tc>
          <w:tcPr>
            <w:tcW w:w="278" w:type="dxa"/>
            <w:shd w:val="clear" w:color="auto" w:fill="auto"/>
            <w:vAlign w:val="center"/>
          </w:tcPr>
          <w:p>
            <w:pPr>
              <w:jc w:val="right"/>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shd w:val="clear" w:color="auto" w:fill="auto"/>
            <w:vAlign w:val="center"/>
          </w:tcPr>
          <w:p>
            <w:pPr>
              <w:jc w:val="center"/>
              <w:rPr>
                <w:rFonts w:hint="eastAsia" w:ascii="宋体" w:hAnsi="宋体" w:eastAsia="宋体" w:cs="宋体"/>
                <w:i w:val="0"/>
                <w:color w:val="000000"/>
                <w:sz w:val="11"/>
                <w:szCs w:val="11"/>
                <w:u w:val="none"/>
              </w:rPr>
            </w:pPr>
          </w:p>
        </w:tc>
        <w:tc>
          <w:tcPr>
            <w:tcW w:w="516"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shd w:val="clear" w:color="auto" w:fill="auto"/>
            <w:vAlign w:val="center"/>
          </w:tcPr>
          <w:p>
            <w:pPr>
              <w:jc w:val="center"/>
              <w:rPr>
                <w:rFonts w:hint="eastAsia" w:ascii="宋体" w:hAnsi="宋体" w:eastAsia="宋体" w:cs="宋体"/>
                <w:i w:val="0"/>
                <w:color w:val="000000"/>
                <w:sz w:val="11"/>
                <w:szCs w:val="11"/>
                <w:u w:val="none"/>
              </w:rPr>
            </w:pPr>
          </w:p>
        </w:tc>
        <w:tc>
          <w:tcPr>
            <w:tcW w:w="516" w:type="dxa"/>
            <w:shd w:val="clear" w:color="auto" w:fill="auto"/>
            <w:vAlign w:val="center"/>
          </w:tcPr>
          <w:p>
            <w:pPr>
              <w:jc w:val="center"/>
              <w:rPr>
                <w:rFonts w:hint="eastAsia" w:ascii="宋体" w:hAnsi="宋体" w:eastAsia="宋体" w:cs="宋体"/>
                <w:i w:val="0"/>
                <w:color w:val="000000"/>
                <w:sz w:val="11"/>
                <w:szCs w:val="11"/>
                <w:u w:val="none"/>
              </w:rPr>
            </w:pPr>
          </w:p>
        </w:tc>
        <w:tc>
          <w:tcPr>
            <w:tcW w:w="517"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517" w:type="dxa"/>
            <w:shd w:val="clear" w:color="auto" w:fill="auto"/>
            <w:vAlign w:val="center"/>
          </w:tcPr>
          <w:p>
            <w:pPr>
              <w:jc w:val="center"/>
              <w:rPr>
                <w:rFonts w:hint="eastAsia" w:ascii="宋体" w:hAnsi="宋体" w:eastAsia="宋体" w:cs="宋体"/>
                <w:i w:val="0"/>
                <w:color w:val="000000"/>
                <w:sz w:val="11"/>
                <w:szCs w:val="11"/>
                <w:u w:val="none"/>
              </w:rPr>
            </w:pPr>
          </w:p>
        </w:tc>
        <w:tc>
          <w:tcPr>
            <w:tcW w:w="517"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gridSpan w:val="2"/>
            <w:shd w:val="clear" w:color="auto" w:fill="auto"/>
            <w:vAlign w:val="center"/>
          </w:tcPr>
          <w:p>
            <w:pPr>
              <w:jc w:val="center"/>
              <w:rPr>
                <w:rFonts w:hint="eastAsia" w:ascii="宋体" w:hAnsi="宋体" w:eastAsia="宋体" w:cs="宋体"/>
                <w:i w:val="0"/>
                <w:color w:val="000000"/>
                <w:sz w:val="11"/>
                <w:szCs w:val="11"/>
                <w:u w:val="none"/>
              </w:rPr>
            </w:pPr>
          </w:p>
        </w:tc>
        <w:tc>
          <w:tcPr>
            <w:tcW w:w="516"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gridSpan w:val="2"/>
            <w:shd w:val="clear" w:color="auto" w:fill="auto"/>
            <w:vAlign w:val="center"/>
          </w:tcPr>
          <w:p>
            <w:pPr>
              <w:jc w:val="center"/>
              <w:rPr>
                <w:rFonts w:hint="eastAsia" w:ascii="宋体" w:hAnsi="宋体" w:eastAsia="宋体" w:cs="宋体"/>
                <w:i w:val="0"/>
                <w:color w:val="000000"/>
                <w:sz w:val="11"/>
                <w:szCs w:val="11"/>
                <w:u w:val="none"/>
              </w:rPr>
            </w:pPr>
          </w:p>
        </w:tc>
        <w:tc>
          <w:tcPr>
            <w:tcW w:w="278" w:type="dxa"/>
            <w:gridSpan w:val="2"/>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3074" w:type="dxa"/>
            <w:gridSpan w:val="10"/>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8"/>
                <w:szCs w:val="18"/>
                <w:u w:val="none"/>
                <w:lang w:val="en-US" w:eastAsia="zh-CN" w:bidi="ar"/>
              </w:rPr>
              <w:t>预算批复04表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988" w:type="dxa"/>
            <w:gridSpan w:val="42"/>
            <w:shd w:val="clear" w:color="auto" w:fill="auto"/>
            <w:vAlign w:val="center"/>
          </w:tcPr>
          <w:p>
            <w:pPr>
              <w:jc w:val="center"/>
              <w:rPr>
                <w:rFonts w:hint="eastAsia" w:ascii="宋体" w:hAnsi="宋体" w:eastAsia="宋体" w:cs="宋体"/>
                <w:b/>
                <w:i w:val="0"/>
                <w:color w:val="000000"/>
                <w:sz w:val="11"/>
                <w:szCs w:val="11"/>
                <w:u w:val="none"/>
              </w:rPr>
            </w:pPr>
            <w:r>
              <w:rPr>
                <w:rFonts w:hint="eastAsia" w:ascii="宋体" w:hAnsi="宋体" w:eastAsia="宋体" w:cs="宋体"/>
                <w:b/>
                <w:i w:val="0"/>
                <w:color w:val="000000"/>
                <w:kern w:val="0"/>
                <w:sz w:val="44"/>
                <w:szCs w:val="44"/>
                <w:u w:val="none"/>
                <w:lang w:val="en-US" w:eastAsia="zh-CN" w:bidi="ar"/>
              </w:rPr>
              <w:t>枣庄市市直2019年政府采购预算表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15"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279"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9"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jc w:val="cente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517" w:type="dxa"/>
            <w:shd w:val="clear" w:color="auto" w:fill="auto"/>
            <w:vAlign w:val="center"/>
          </w:tcPr>
          <w:p>
            <w:pPr>
              <w:rPr>
                <w:rFonts w:hint="eastAsia" w:ascii="宋体" w:hAnsi="宋体" w:eastAsia="宋体" w:cs="宋体"/>
                <w:i w:val="0"/>
                <w:color w:val="000000"/>
                <w:sz w:val="11"/>
                <w:szCs w:val="11"/>
                <w:u w:val="none"/>
              </w:rPr>
            </w:pPr>
          </w:p>
        </w:tc>
        <w:tc>
          <w:tcPr>
            <w:tcW w:w="517"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jc w:val="right"/>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279" w:type="dxa"/>
            <w:shd w:val="clear" w:color="auto" w:fill="auto"/>
            <w:vAlign w:val="center"/>
          </w:tcPr>
          <w:p>
            <w:pPr>
              <w:rPr>
                <w:rFonts w:hint="eastAsia" w:ascii="宋体" w:hAnsi="宋体" w:eastAsia="宋体" w:cs="宋体"/>
                <w:i w:val="0"/>
                <w:color w:val="000000"/>
                <w:sz w:val="11"/>
                <w:szCs w:val="11"/>
                <w:u w:val="none"/>
              </w:rPr>
            </w:pPr>
          </w:p>
        </w:tc>
        <w:tc>
          <w:tcPr>
            <w:tcW w:w="516" w:type="dxa"/>
            <w:shd w:val="clear" w:color="auto" w:fill="auto"/>
            <w:vAlign w:val="center"/>
          </w:tcPr>
          <w:p>
            <w:pPr>
              <w:rPr>
                <w:rFonts w:hint="eastAsia" w:ascii="宋体" w:hAnsi="宋体" w:eastAsia="宋体" w:cs="宋体"/>
                <w:i w:val="0"/>
                <w:color w:val="000000"/>
                <w:sz w:val="11"/>
                <w:szCs w:val="11"/>
                <w:u w:val="none"/>
              </w:rPr>
            </w:pPr>
          </w:p>
        </w:tc>
        <w:tc>
          <w:tcPr>
            <w:tcW w:w="279" w:type="dxa"/>
            <w:shd w:val="clear" w:color="auto" w:fill="auto"/>
            <w:vAlign w:val="center"/>
          </w:tcPr>
          <w:p>
            <w:pPr>
              <w:rPr>
                <w:rFonts w:hint="eastAsia" w:ascii="宋体" w:hAnsi="宋体" w:eastAsia="宋体" w:cs="宋体"/>
                <w:i w:val="0"/>
                <w:color w:val="000000"/>
                <w:sz w:val="11"/>
                <w:szCs w:val="11"/>
                <w:u w:val="none"/>
              </w:rPr>
            </w:pPr>
          </w:p>
        </w:tc>
        <w:tc>
          <w:tcPr>
            <w:tcW w:w="516" w:type="dxa"/>
            <w:shd w:val="clear" w:color="auto" w:fill="auto"/>
            <w:vAlign w:val="center"/>
          </w:tcPr>
          <w:p>
            <w:pPr>
              <w:rPr>
                <w:rFonts w:hint="eastAsia" w:ascii="宋体" w:hAnsi="宋体" w:eastAsia="宋体" w:cs="宋体"/>
                <w:i w:val="0"/>
                <w:color w:val="000000"/>
                <w:sz w:val="11"/>
                <w:szCs w:val="11"/>
                <w:u w:val="none"/>
              </w:rPr>
            </w:pPr>
          </w:p>
        </w:tc>
        <w:tc>
          <w:tcPr>
            <w:tcW w:w="517"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517" w:type="dxa"/>
            <w:shd w:val="clear" w:color="auto" w:fill="auto"/>
            <w:vAlign w:val="center"/>
          </w:tcPr>
          <w:p>
            <w:pPr>
              <w:rPr>
                <w:rFonts w:hint="eastAsia" w:ascii="宋体" w:hAnsi="宋体" w:eastAsia="宋体" w:cs="宋体"/>
                <w:i w:val="0"/>
                <w:color w:val="000000"/>
                <w:sz w:val="11"/>
                <w:szCs w:val="11"/>
                <w:u w:val="none"/>
              </w:rPr>
            </w:pPr>
          </w:p>
        </w:tc>
        <w:tc>
          <w:tcPr>
            <w:tcW w:w="517"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279" w:type="dxa"/>
            <w:gridSpan w:val="2"/>
            <w:shd w:val="clear" w:color="auto" w:fill="auto"/>
            <w:vAlign w:val="center"/>
          </w:tcPr>
          <w:p>
            <w:pPr>
              <w:rPr>
                <w:rFonts w:hint="eastAsia" w:ascii="宋体" w:hAnsi="宋体" w:eastAsia="宋体" w:cs="宋体"/>
                <w:i w:val="0"/>
                <w:color w:val="000000"/>
                <w:sz w:val="11"/>
                <w:szCs w:val="11"/>
                <w:u w:val="none"/>
              </w:rPr>
            </w:pPr>
          </w:p>
        </w:tc>
        <w:tc>
          <w:tcPr>
            <w:tcW w:w="516" w:type="dxa"/>
            <w:shd w:val="clear" w:color="auto" w:fill="auto"/>
            <w:vAlign w:val="center"/>
          </w:tcPr>
          <w:p>
            <w:pPr>
              <w:rPr>
                <w:rFonts w:hint="eastAsia" w:ascii="宋体" w:hAnsi="宋体" w:eastAsia="宋体" w:cs="宋体"/>
                <w:i w:val="0"/>
                <w:color w:val="000000"/>
                <w:sz w:val="11"/>
                <w:szCs w:val="11"/>
                <w:u w:val="none"/>
              </w:rPr>
            </w:pPr>
          </w:p>
        </w:tc>
        <w:tc>
          <w:tcPr>
            <w:tcW w:w="279" w:type="dxa"/>
            <w:gridSpan w:val="2"/>
            <w:shd w:val="clear" w:color="auto" w:fill="auto"/>
            <w:vAlign w:val="center"/>
          </w:tcPr>
          <w:p>
            <w:pPr>
              <w:rPr>
                <w:rFonts w:hint="eastAsia" w:ascii="宋体" w:hAnsi="宋体" w:eastAsia="宋体" w:cs="宋体"/>
                <w:i w:val="0"/>
                <w:color w:val="000000"/>
                <w:sz w:val="11"/>
                <w:szCs w:val="11"/>
                <w:u w:val="none"/>
              </w:rPr>
            </w:pPr>
          </w:p>
        </w:tc>
        <w:tc>
          <w:tcPr>
            <w:tcW w:w="278" w:type="dxa"/>
            <w:gridSpan w:val="2"/>
            <w:shd w:val="clear" w:color="auto" w:fill="auto"/>
            <w:vAlign w:val="center"/>
          </w:tcPr>
          <w:p>
            <w:pPr>
              <w:rPr>
                <w:rFonts w:hint="eastAsia" w:ascii="宋体" w:hAnsi="宋体" w:eastAsia="宋体" w:cs="宋体"/>
                <w:i w:val="0"/>
                <w:color w:val="000000"/>
                <w:sz w:val="11"/>
                <w:szCs w:val="11"/>
                <w:u w:val="none"/>
              </w:rPr>
            </w:pPr>
          </w:p>
        </w:tc>
        <w:tc>
          <w:tcPr>
            <w:tcW w:w="278" w:type="dxa"/>
            <w:shd w:val="clear" w:color="auto" w:fill="auto"/>
            <w:vAlign w:val="center"/>
          </w:tcPr>
          <w:p>
            <w:pPr>
              <w:rPr>
                <w:rFonts w:hint="eastAsia" w:ascii="宋体" w:hAnsi="宋体" w:eastAsia="宋体" w:cs="宋体"/>
                <w:i w:val="0"/>
                <w:color w:val="000000"/>
                <w:sz w:val="11"/>
                <w:szCs w:val="11"/>
                <w:u w:val="none"/>
              </w:rPr>
            </w:pPr>
          </w:p>
        </w:tc>
        <w:tc>
          <w:tcPr>
            <w:tcW w:w="318" w:type="dxa"/>
            <w:shd w:val="clear" w:color="auto" w:fill="auto"/>
            <w:vAlign w:val="center"/>
          </w:tcPr>
          <w:p>
            <w:pPr>
              <w:rPr>
                <w:rFonts w:hint="eastAsia" w:ascii="宋体" w:hAnsi="宋体" w:eastAsia="宋体" w:cs="宋体"/>
                <w:i w:val="0"/>
                <w:color w:val="000000"/>
                <w:sz w:val="11"/>
                <w:szCs w:val="11"/>
                <w:u w:val="none"/>
              </w:rPr>
            </w:pPr>
          </w:p>
        </w:tc>
        <w:tc>
          <w:tcPr>
            <w:tcW w:w="2756" w:type="dxa"/>
            <w:gridSpan w:val="9"/>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单位代码</w:t>
            </w:r>
          </w:p>
        </w:tc>
        <w:tc>
          <w:tcPr>
            <w:tcW w:w="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单位名称</w:t>
            </w: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项              目</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1"/>
                <w:szCs w:val="11"/>
                <w:u w:val="none"/>
              </w:rPr>
            </w:pPr>
          </w:p>
        </w:tc>
        <w:tc>
          <w:tcPr>
            <w:tcW w:w="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规格</w:t>
            </w:r>
          </w:p>
        </w:tc>
        <w:tc>
          <w:tcPr>
            <w:tcW w:w="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 xml:space="preserve">数量 </w:t>
            </w:r>
          </w:p>
        </w:tc>
        <w:tc>
          <w:tcPr>
            <w:tcW w:w="2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计量单位</w:t>
            </w:r>
          </w:p>
        </w:tc>
        <w:tc>
          <w:tcPr>
            <w:tcW w:w="2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总计</w:t>
            </w:r>
          </w:p>
        </w:tc>
        <w:tc>
          <w:tcPr>
            <w:tcW w:w="517"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一般公共预算拨款（补助）</w:t>
            </w:r>
          </w:p>
        </w:tc>
        <w:tc>
          <w:tcPr>
            <w:tcW w:w="517"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9"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516"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9"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516"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517"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13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纳入预算管理政府性基金</w:t>
            </w:r>
          </w:p>
        </w:tc>
        <w:tc>
          <w:tcPr>
            <w:tcW w:w="278"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国有资本经营收入</w:t>
            </w:r>
          </w:p>
        </w:tc>
        <w:tc>
          <w:tcPr>
            <w:tcW w:w="2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专户资金</w:t>
            </w:r>
          </w:p>
        </w:tc>
        <w:tc>
          <w:tcPr>
            <w:tcW w:w="2464"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其他资金</w:t>
            </w:r>
          </w:p>
        </w:tc>
        <w:tc>
          <w:tcPr>
            <w:tcW w:w="279" w:type="dxa"/>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上年结转结余</w:t>
            </w:r>
          </w:p>
        </w:tc>
        <w:tc>
          <w:tcPr>
            <w:tcW w:w="27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9" w:type="dxa"/>
            <w:tcBorders>
              <w:top w:val="single" w:color="000000" w:sz="4" w:space="0"/>
              <w:bottom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278" w:type="dxa"/>
            <w:tcBorders>
              <w:top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1"/>
                <w:szCs w:val="11"/>
                <w:u w:val="none"/>
              </w:rPr>
            </w:pPr>
          </w:p>
        </w:tc>
        <w:tc>
          <w:tcPr>
            <w:tcW w:w="5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需求时间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科目名称</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采购项目</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采购目录</w:t>
            </w:r>
          </w:p>
        </w:tc>
        <w:tc>
          <w:tcPr>
            <w:tcW w:w="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2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c>
          <w:tcPr>
            <w:tcW w:w="2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p>
        </w:tc>
        <w:tc>
          <w:tcPr>
            <w:tcW w:w="51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一般公共预算拨款（补助）小计</w:t>
            </w:r>
          </w:p>
        </w:tc>
        <w:tc>
          <w:tcPr>
            <w:tcW w:w="51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经费拨款（补助）</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专项收入</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纳入预算管理的行政性收费安排的拨款</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罚没收入安排的拨款</w:t>
            </w:r>
          </w:p>
        </w:tc>
        <w:tc>
          <w:tcPr>
            <w:tcW w:w="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捐赠收入</w:t>
            </w:r>
          </w:p>
        </w:tc>
        <w:tc>
          <w:tcPr>
            <w:tcW w:w="51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国有资源（资产）有偿使用收入</w:t>
            </w:r>
          </w:p>
        </w:tc>
        <w:tc>
          <w:tcPr>
            <w:tcW w:w="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政府住房基金收入</w:t>
            </w:r>
          </w:p>
        </w:tc>
        <w:tc>
          <w:tcPr>
            <w:tcW w:w="51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中央、省专项转移支付</w:t>
            </w:r>
          </w:p>
        </w:tc>
        <w:tc>
          <w:tcPr>
            <w:tcW w:w="51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中央、省一般转移支付</w:t>
            </w:r>
          </w:p>
        </w:tc>
        <w:tc>
          <w:tcPr>
            <w:tcW w:w="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纳入预算管理的政府性基金小计</w:t>
            </w:r>
          </w:p>
        </w:tc>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经费拨款（补助）（预算内基金）</w:t>
            </w:r>
          </w:p>
        </w:tc>
        <w:tc>
          <w:tcPr>
            <w:tcW w:w="5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中央、省专项转移支付（预算内基金）</w:t>
            </w:r>
          </w:p>
        </w:tc>
        <w:tc>
          <w:tcPr>
            <w:tcW w:w="278"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p>
        </w:tc>
        <w:tc>
          <w:tcPr>
            <w:tcW w:w="2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其他资金小计</w:t>
            </w:r>
          </w:p>
        </w:tc>
        <w:tc>
          <w:tcPr>
            <w:tcW w:w="5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事业收入（不含预算外资金）</w:t>
            </w:r>
          </w:p>
        </w:tc>
        <w:tc>
          <w:tcPr>
            <w:tcW w:w="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事业单位经营收入</w:t>
            </w:r>
          </w:p>
        </w:tc>
        <w:tc>
          <w:tcPr>
            <w:tcW w:w="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其他收入</w:t>
            </w:r>
          </w:p>
        </w:tc>
        <w:tc>
          <w:tcPr>
            <w:tcW w:w="2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上级补助收入</w:t>
            </w:r>
          </w:p>
        </w:tc>
        <w:tc>
          <w:tcPr>
            <w:tcW w:w="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附属单位上缴收入</w:t>
            </w:r>
          </w:p>
        </w:tc>
        <w:tc>
          <w:tcPr>
            <w:tcW w:w="2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用事业基金弥补收支差额</w:t>
            </w:r>
          </w:p>
        </w:tc>
        <w:tc>
          <w:tcPr>
            <w:tcW w:w="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债务收入</w:t>
            </w:r>
          </w:p>
        </w:tc>
        <w:tc>
          <w:tcPr>
            <w:tcW w:w="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上年结转结余小计</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一般公共预算拨款的结转和结余</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纳入预算管理的政府性基金结转结余</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国有资本经营收入结转结余</w:t>
            </w:r>
          </w:p>
        </w:tc>
        <w:tc>
          <w:tcPr>
            <w:tcW w:w="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专户资金结转结余</w:t>
            </w:r>
          </w:p>
        </w:tc>
        <w:tc>
          <w:tcPr>
            <w:tcW w:w="278"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其他结转结余</w:t>
            </w:r>
          </w:p>
        </w:tc>
        <w:tc>
          <w:tcPr>
            <w:tcW w:w="57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w:t>
            </w:r>
          </w:p>
        </w:tc>
        <w:tc>
          <w:tcPr>
            <w:tcW w:w="5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w:t>
            </w:r>
          </w:p>
        </w:tc>
        <w:tc>
          <w:tcPr>
            <w:tcW w:w="5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4</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5</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6</w:t>
            </w:r>
          </w:p>
        </w:tc>
        <w:tc>
          <w:tcPr>
            <w:tcW w:w="2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7</w:t>
            </w:r>
          </w:p>
        </w:tc>
        <w:tc>
          <w:tcPr>
            <w:tcW w:w="51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8</w:t>
            </w:r>
          </w:p>
        </w:tc>
        <w:tc>
          <w:tcPr>
            <w:tcW w:w="2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9</w:t>
            </w:r>
          </w:p>
        </w:tc>
        <w:tc>
          <w:tcPr>
            <w:tcW w:w="51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10</w:t>
            </w:r>
          </w:p>
        </w:tc>
        <w:tc>
          <w:tcPr>
            <w:tcW w:w="5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11</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12</w:t>
            </w:r>
          </w:p>
        </w:tc>
        <w:tc>
          <w:tcPr>
            <w:tcW w:w="5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13</w:t>
            </w:r>
          </w:p>
        </w:tc>
        <w:tc>
          <w:tcPr>
            <w:tcW w:w="51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14</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15</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16</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17</w:t>
            </w:r>
          </w:p>
        </w:tc>
        <w:tc>
          <w:tcPr>
            <w:tcW w:w="51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18</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19</w:t>
            </w:r>
          </w:p>
        </w:tc>
        <w:tc>
          <w:tcPr>
            <w:tcW w:w="278"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20</w:t>
            </w:r>
          </w:p>
        </w:tc>
        <w:tc>
          <w:tcPr>
            <w:tcW w:w="27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21</w:t>
            </w:r>
          </w:p>
        </w:tc>
        <w:tc>
          <w:tcPr>
            <w:tcW w:w="3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22</w:t>
            </w:r>
          </w:p>
        </w:tc>
        <w:tc>
          <w:tcPr>
            <w:tcW w:w="2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23</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24</w:t>
            </w:r>
          </w:p>
        </w:tc>
        <w:tc>
          <w:tcPr>
            <w:tcW w:w="2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25</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26</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27</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28</w:t>
            </w:r>
          </w:p>
        </w:tc>
        <w:tc>
          <w:tcPr>
            <w:tcW w:w="27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29</w:t>
            </w:r>
          </w:p>
        </w:tc>
        <w:tc>
          <w:tcPr>
            <w:tcW w:w="27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30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1"/>
                <w:szCs w:val="11"/>
                <w:u w:val="none"/>
              </w:rPr>
            </w:pPr>
            <w:r>
              <w:rPr>
                <w:rFonts w:hint="eastAsia" w:ascii="宋体" w:hAnsi="宋体" w:eastAsia="宋体" w:cs="宋体"/>
                <w:i w:val="0"/>
                <w:color w:val="000000"/>
                <w:kern w:val="0"/>
                <w:sz w:val="11"/>
                <w:szCs w:val="1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3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1"/>
                <w:szCs w:val="1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1"/>
                <w:szCs w:val="11"/>
                <w:u w:val="none"/>
              </w:rPr>
            </w:pPr>
          </w:p>
        </w:tc>
      </w:tr>
    </w:tbl>
    <w:p>
      <w:pPr>
        <w:widowControl/>
        <w:jc w:val="left"/>
      </w:pPr>
      <w:r>
        <w:br w:type="page"/>
      </w:r>
    </w:p>
    <w:p>
      <w:pPr>
        <w:rPr>
          <w:rFonts w:hint="eastAsia" w:ascii="黑体" w:hAnsi="黑体" w:eastAsia="黑体"/>
          <w:sz w:val="28"/>
          <w:szCs w:val="28"/>
        </w:rPr>
      </w:pPr>
      <w:bookmarkStart w:id="3" w:name="RANGE!A1:F41"/>
      <w:bookmarkEnd w:id="3"/>
      <w:r>
        <w:t xml:space="preserve"> </w:t>
      </w:r>
      <w:bookmarkStart w:id="4" w:name="RANGE!A1:J7"/>
      <w:bookmarkEnd w:id="4"/>
      <w:bookmarkStart w:id="5" w:name="RANGE!A1:G7"/>
      <w:bookmarkEnd w:id="5"/>
      <w:bookmarkStart w:id="6" w:name="RANGE!A1:N8"/>
      <w:bookmarkEnd w:id="6"/>
      <w:bookmarkStart w:id="7" w:name="RANGE!A1:H8"/>
      <w:bookmarkEnd w:id="7"/>
      <w:bookmarkStart w:id="8" w:name="RANGE!A1:F7"/>
      <w:bookmarkEnd w:id="8"/>
    </w:p>
    <w:p>
      <w:pPr>
        <w:spacing w:line="600" w:lineRule="exact"/>
        <w:jc w:val="center"/>
        <w:rPr>
          <w:rFonts w:ascii="仿宋" w:hAnsi="仿宋" w:eastAsia="仿宋"/>
          <w:b/>
          <w:sz w:val="56"/>
          <w:szCs w:val="52"/>
        </w:rPr>
      </w:pPr>
      <w:r>
        <w:rPr>
          <w:rFonts w:hint="eastAsia" w:ascii="仿宋" w:hAnsi="仿宋" w:eastAsia="仿宋"/>
          <w:b/>
          <w:sz w:val="56"/>
          <w:szCs w:val="52"/>
        </w:rPr>
        <w:t>第三部分   201</w:t>
      </w:r>
      <w:r>
        <w:rPr>
          <w:rFonts w:hint="eastAsia" w:ascii="仿宋" w:hAnsi="仿宋" w:eastAsia="仿宋"/>
          <w:b/>
          <w:sz w:val="56"/>
          <w:szCs w:val="52"/>
          <w:lang w:val="en-US" w:eastAsia="zh-CN"/>
        </w:rPr>
        <w:t>9</w:t>
      </w:r>
      <w:r>
        <w:rPr>
          <w:rFonts w:hint="eastAsia" w:ascii="仿宋" w:hAnsi="仿宋" w:eastAsia="仿宋"/>
          <w:b/>
          <w:sz w:val="56"/>
          <w:szCs w:val="52"/>
        </w:rPr>
        <w:t>年部门预算情况说明</w:t>
      </w:r>
    </w:p>
    <w:p>
      <w:pPr>
        <w:spacing w:line="600" w:lineRule="exact"/>
        <w:rPr>
          <w:rFonts w:hint="eastAsia" w:ascii="仿宋" w:hAnsi="仿宋" w:eastAsia="仿宋"/>
          <w:sz w:val="32"/>
          <w:szCs w:val="32"/>
        </w:rPr>
      </w:pPr>
      <w:r>
        <w:rPr>
          <w:rFonts w:ascii="仿宋" w:hAnsi="仿宋" w:eastAsia="仿宋"/>
          <w:sz w:val="32"/>
          <w:szCs w:val="32"/>
        </w:rPr>
        <w:t xml:space="preserve"> </w:t>
      </w:r>
    </w:p>
    <w:p>
      <w:pPr>
        <w:spacing w:line="600" w:lineRule="exact"/>
        <w:ind w:left="359" w:leftChars="171"/>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一</w:t>
      </w:r>
      <w:r>
        <w:rPr>
          <w:rFonts w:hint="eastAsia" w:ascii="仿宋" w:hAnsi="仿宋" w:eastAsia="仿宋"/>
          <w:b/>
          <w:bCs/>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收支预算总体情况</w:t>
      </w:r>
    </w:p>
    <w:p>
      <w:pPr>
        <w:spacing w:line="600" w:lineRule="exact"/>
        <w:ind w:firstLine="720" w:firstLineChars="22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ascii="仿宋" w:hAnsi="仿宋" w:eastAsia="仿宋"/>
          <w:color w:val="000000" w:themeColor="text1"/>
          <w:sz w:val="32"/>
          <w:szCs w:val="32"/>
          <w14:textFill>
            <w14:solidFill>
              <w14:schemeClr w14:val="tx1"/>
            </w14:solidFill>
          </w14:textFill>
        </w:rPr>
        <w:t xml:space="preserve">年收入预算为 </w:t>
      </w:r>
      <w:r>
        <w:rPr>
          <w:rFonts w:hint="eastAsia" w:ascii="仿宋" w:hAnsi="仿宋" w:eastAsia="仿宋"/>
          <w:color w:val="000000" w:themeColor="text1"/>
          <w:sz w:val="32"/>
          <w:szCs w:val="32"/>
          <w:lang w:val="en-US" w:eastAsia="zh-CN"/>
          <w14:textFill>
            <w14:solidFill>
              <w14:schemeClr w14:val="tx1"/>
            </w14:solidFill>
          </w14:textFill>
        </w:rPr>
        <w:t>1150.24</w:t>
      </w:r>
      <w:r>
        <w:rPr>
          <w:rFonts w:ascii="仿宋" w:hAnsi="仿宋" w:eastAsia="仿宋"/>
          <w:color w:val="000000" w:themeColor="text1"/>
          <w:sz w:val="32"/>
          <w:szCs w:val="32"/>
          <w14:textFill>
            <w14:solidFill>
              <w14:schemeClr w14:val="tx1"/>
            </w14:solidFill>
          </w14:textFill>
        </w:rPr>
        <w:t xml:space="preserve">万元，其中：财政资金 </w:t>
      </w:r>
      <w:r>
        <w:rPr>
          <w:rFonts w:hint="eastAsia" w:ascii="仿宋" w:hAnsi="仿宋" w:eastAsia="仿宋"/>
          <w:color w:val="000000" w:themeColor="text1"/>
          <w:kern w:val="0"/>
          <w:sz w:val="32"/>
          <w:szCs w:val="32"/>
          <w:lang w:val="en-US" w:eastAsia="zh-CN"/>
          <w14:textFill>
            <w14:solidFill>
              <w14:schemeClr w14:val="tx1"/>
            </w14:solidFill>
          </w14:textFill>
        </w:rPr>
        <w:t>1129.24</w:t>
      </w:r>
      <w:r>
        <w:rPr>
          <w:rFonts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98</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上年结转</w:t>
      </w:r>
      <w:r>
        <w:rPr>
          <w:rFonts w:hint="eastAsia" w:ascii="仿宋" w:hAnsi="仿宋" w:eastAsia="仿宋"/>
          <w:color w:val="000000" w:themeColor="text1"/>
          <w:sz w:val="32"/>
          <w:szCs w:val="32"/>
          <w:lang w:val="en-US" w:eastAsia="zh-CN"/>
          <w14:textFill>
            <w14:solidFill>
              <w14:schemeClr w14:val="tx1"/>
            </w14:solidFill>
          </w14:textFill>
        </w:rPr>
        <w:t>21.17</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14:textFill>
            <w14:solidFill>
              <w14:schemeClr w14:val="tx1"/>
            </w14:solidFill>
          </w14:textFill>
        </w:rPr>
        <w:t>8</w:t>
      </w:r>
      <w:r>
        <w:rPr>
          <w:rFonts w:ascii="仿宋" w:hAnsi="仿宋" w:eastAsia="仿宋"/>
          <w:color w:val="000000" w:themeColor="text1"/>
          <w:sz w:val="32"/>
          <w:szCs w:val="32"/>
          <w14:textFill>
            <w14:solidFill>
              <w14:schemeClr w14:val="tx1"/>
            </w14:solidFill>
          </w14:textFill>
        </w:rPr>
        <w:t xml:space="preserve">年支出预算为 </w:t>
      </w:r>
      <w:r>
        <w:rPr>
          <w:rFonts w:hint="eastAsia" w:ascii="仿宋" w:hAnsi="仿宋" w:eastAsia="仿宋"/>
          <w:color w:val="000000" w:themeColor="text1"/>
          <w:sz w:val="32"/>
          <w:szCs w:val="32"/>
          <w:lang w:val="en-US" w:eastAsia="zh-CN"/>
          <w14:textFill>
            <w14:solidFill>
              <w14:schemeClr w14:val="tx1"/>
            </w14:solidFill>
          </w14:textFill>
        </w:rPr>
        <w:t>1150.24</w:t>
      </w:r>
      <w:r>
        <w:rPr>
          <w:rFonts w:ascii="仿宋" w:hAnsi="仿宋" w:eastAsia="仿宋"/>
          <w:color w:val="000000" w:themeColor="text1"/>
          <w:sz w:val="32"/>
          <w:szCs w:val="32"/>
          <w14:textFill>
            <w14:solidFill>
              <w14:schemeClr w14:val="tx1"/>
            </w14:solidFill>
          </w14:textFill>
        </w:rPr>
        <w:t>万元，其中：</w:t>
      </w:r>
      <w:r>
        <w:rPr>
          <w:rFonts w:hint="eastAsia" w:ascii="仿宋" w:hAnsi="仿宋" w:eastAsia="仿宋"/>
          <w:color w:val="000000" w:themeColor="text1"/>
          <w:sz w:val="32"/>
          <w:szCs w:val="32"/>
          <w14:textFill>
            <w14:solidFill>
              <w14:schemeClr w14:val="tx1"/>
            </w14:solidFill>
          </w14:textFill>
        </w:rPr>
        <w:t>基本支出</w:t>
      </w:r>
      <w:r>
        <w:rPr>
          <w:rFonts w:hint="eastAsia" w:ascii="仿宋" w:hAnsi="仿宋" w:eastAsia="仿宋"/>
          <w:color w:val="000000" w:themeColor="text1"/>
          <w:sz w:val="32"/>
          <w:szCs w:val="32"/>
          <w:lang w:val="en-US" w:eastAsia="zh-CN"/>
          <w14:textFill>
            <w14:solidFill>
              <w14:schemeClr w14:val="tx1"/>
            </w14:solidFill>
          </w14:textFill>
        </w:rPr>
        <w:t>1038.24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90.26</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112.17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9.74</w:t>
      </w:r>
      <w:r>
        <w:rPr>
          <w:rFonts w:hint="eastAsia" w:ascii="仿宋" w:hAnsi="仿宋" w:eastAsia="仿宋"/>
          <w:color w:val="000000" w:themeColor="text1"/>
          <w:sz w:val="32"/>
          <w:szCs w:val="32"/>
          <w14:textFill>
            <w14:solidFill>
              <w14:schemeClr w14:val="tx1"/>
            </w14:solidFill>
          </w14:textFill>
        </w:rPr>
        <w:t>%，其中：按功能科目，一般公共服务支出</w:t>
      </w:r>
      <w:r>
        <w:rPr>
          <w:rFonts w:hint="eastAsia" w:ascii="仿宋" w:hAnsi="仿宋" w:eastAsia="仿宋"/>
          <w:color w:val="000000" w:themeColor="text1"/>
          <w:sz w:val="32"/>
          <w:szCs w:val="32"/>
          <w:lang w:val="en-US" w:eastAsia="zh-CN"/>
          <w14:textFill>
            <w14:solidFill>
              <w14:schemeClr w14:val="tx1"/>
            </w14:solidFill>
          </w14:textFill>
        </w:rPr>
        <w:t>856.57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4.7</w:t>
      </w:r>
      <w:r>
        <w:rPr>
          <w:rFonts w:hint="eastAsia" w:ascii="仿宋" w:hAnsi="仿宋" w:eastAsia="仿宋"/>
          <w:color w:val="000000" w:themeColor="text1"/>
          <w:sz w:val="32"/>
          <w:szCs w:val="32"/>
          <w14:textFill>
            <w14:solidFill>
              <w14:schemeClr w14:val="tx1"/>
            </w14:solidFill>
          </w14:textFill>
        </w:rPr>
        <w:t>%、教育支出9.</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%、住房保障支出69.</w:t>
      </w:r>
      <w:r>
        <w:rPr>
          <w:rFonts w:hint="eastAsia" w:ascii="仿宋" w:hAnsi="仿宋" w:eastAsia="仿宋"/>
          <w:color w:val="000000" w:themeColor="text1"/>
          <w:sz w:val="32"/>
          <w:szCs w:val="32"/>
          <w:lang w:val="en-US" w:eastAsia="zh-CN"/>
          <w14:textFill>
            <w14:solidFill>
              <w14:schemeClr w14:val="tx1"/>
            </w14:solidFill>
          </w14:textFill>
        </w:rPr>
        <w:t>73</w:t>
      </w:r>
      <w:r>
        <w:rPr>
          <w:rFonts w:hint="eastAsia" w:ascii="仿宋" w:hAnsi="仿宋" w:eastAsia="仿宋"/>
          <w:color w:val="000000" w:themeColor="text1"/>
          <w:sz w:val="32"/>
          <w:szCs w:val="32"/>
          <w14:textFill>
            <w14:solidFill>
              <w14:schemeClr w14:val="tx1"/>
            </w14:solidFill>
          </w14:textFill>
        </w:rPr>
        <w:t>万元，增加0.5%，原因是201</w:t>
      </w:r>
      <w:r>
        <w:rPr>
          <w:rFonts w:hint="eastAsia" w:ascii="仿宋" w:hAnsi="仿宋" w:eastAsia="仿宋"/>
          <w:color w:val="000000" w:themeColor="text1"/>
          <w:sz w:val="32"/>
          <w:szCs w:val="32"/>
          <w:lang w:val="en-US" w:eastAsia="zh-CN"/>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eastAsia="zh-CN"/>
          <w14:textFill>
            <w14:solidFill>
              <w14:schemeClr w14:val="tx1"/>
            </w14:solidFill>
          </w14:textFill>
        </w:rPr>
        <w:t>增资；</w:t>
      </w:r>
      <w:r>
        <w:rPr>
          <w:rFonts w:hint="eastAsia" w:ascii="仿宋" w:hAnsi="仿宋" w:eastAsia="仿宋"/>
          <w:color w:val="000000" w:themeColor="text1"/>
          <w:sz w:val="32"/>
          <w:szCs w:val="32"/>
          <w14:textFill>
            <w14:solidFill>
              <w14:schemeClr w14:val="tx1"/>
            </w14:solidFill>
          </w14:textFill>
        </w:rPr>
        <w:t>按经济分类科目，工资福利支出</w:t>
      </w:r>
      <w:r>
        <w:rPr>
          <w:rFonts w:hint="eastAsia" w:ascii="仿宋" w:hAnsi="仿宋" w:eastAsia="仿宋"/>
          <w:color w:val="000000" w:themeColor="text1"/>
          <w:sz w:val="32"/>
          <w:szCs w:val="32"/>
          <w:lang w:val="en-US" w:eastAsia="zh-CN"/>
          <w14:textFill>
            <w14:solidFill>
              <w14:schemeClr w14:val="tx1"/>
            </w14:solidFill>
          </w14:textFill>
        </w:rPr>
        <w:t>898.68</w:t>
      </w:r>
      <w:r>
        <w:rPr>
          <w:rFonts w:hint="eastAsia" w:ascii="仿宋" w:hAnsi="仿宋" w:eastAsia="仿宋"/>
          <w:color w:val="000000" w:themeColor="text1"/>
          <w:sz w:val="32"/>
          <w:szCs w:val="32"/>
          <w14:textFill>
            <w14:solidFill>
              <w14:schemeClr w14:val="tx1"/>
            </w14:solidFill>
          </w14:textFill>
        </w:rPr>
        <w:t>万元，增加</w:t>
      </w:r>
      <w:r>
        <w:rPr>
          <w:rFonts w:hint="eastAsia" w:ascii="仿宋" w:hAnsi="仿宋" w:eastAsia="仿宋"/>
          <w:color w:val="000000" w:themeColor="text1"/>
          <w:sz w:val="32"/>
          <w:szCs w:val="32"/>
          <w:lang w:val="en-US" w:eastAsia="zh-CN"/>
          <w14:textFill>
            <w14:solidFill>
              <w14:schemeClr w14:val="tx1"/>
            </w14:solidFill>
          </w14:textFill>
        </w:rPr>
        <w:t>27.86</w:t>
      </w:r>
      <w:r>
        <w:rPr>
          <w:rFonts w:hint="eastAsia" w:ascii="仿宋" w:hAnsi="仿宋" w:eastAsia="仿宋"/>
          <w:color w:val="000000" w:themeColor="text1"/>
          <w:sz w:val="32"/>
          <w:szCs w:val="32"/>
          <w14:textFill>
            <w14:solidFill>
              <w14:schemeClr w14:val="tx1"/>
            </w14:solidFill>
          </w14:textFill>
        </w:rPr>
        <w:t>%、商品和服务支出</w:t>
      </w:r>
      <w:r>
        <w:rPr>
          <w:rFonts w:hint="eastAsia" w:ascii="仿宋" w:hAnsi="仿宋" w:eastAsia="仿宋"/>
          <w:color w:val="000000" w:themeColor="text1"/>
          <w:sz w:val="32"/>
          <w:szCs w:val="32"/>
          <w:lang w:val="en-US" w:eastAsia="zh-CN"/>
          <w14:textFill>
            <w14:solidFill>
              <w14:schemeClr w14:val="tx1"/>
            </w14:solidFill>
          </w14:textFill>
        </w:rPr>
        <w:t>176.46</w:t>
      </w:r>
      <w:r>
        <w:rPr>
          <w:rFonts w:hint="eastAsia" w:ascii="仿宋" w:hAnsi="仿宋" w:eastAsia="仿宋"/>
          <w:color w:val="000000" w:themeColor="text1"/>
          <w:sz w:val="32"/>
          <w:szCs w:val="32"/>
          <w14:textFill>
            <w14:solidFill>
              <w14:schemeClr w14:val="tx1"/>
            </w14:solidFill>
          </w14:textFill>
        </w:rPr>
        <w:t>万，减少</w:t>
      </w:r>
      <w:r>
        <w:rPr>
          <w:rFonts w:hint="eastAsia" w:ascii="仿宋" w:hAnsi="仿宋" w:eastAsia="仿宋"/>
          <w:color w:val="000000" w:themeColor="text1"/>
          <w:sz w:val="32"/>
          <w:szCs w:val="32"/>
          <w:lang w:val="en-US" w:eastAsia="zh-CN"/>
          <w14:textFill>
            <w14:solidFill>
              <w14:schemeClr w14:val="tx1"/>
            </w14:solidFill>
          </w14:textFill>
        </w:rPr>
        <w:t>20.6</w:t>
      </w:r>
      <w:r>
        <w:rPr>
          <w:rFonts w:hint="eastAsia" w:ascii="仿宋" w:hAnsi="仿宋" w:eastAsia="仿宋"/>
          <w:color w:val="000000" w:themeColor="text1"/>
          <w:sz w:val="32"/>
          <w:szCs w:val="32"/>
          <w14:textFill>
            <w14:solidFill>
              <w14:schemeClr w14:val="tx1"/>
            </w14:solidFill>
          </w14:textFill>
        </w:rPr>
        <w:t>%,原因是经费压减统一要求。</w:t>
      </w:r>
    </w:p>
    <w:p>
      <w:pPr>
        <w:spacing w:line="600" w:lineRule="exact"/>
        <w:ind w:left="359" w:leftChars="171"/>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二</w:t>
      </w:r>
      <w:r>
        <w:rPr>
          <w:rFonts w:hint="eastAsia" w:ascii="仿宋" w:hAnsi="仿宋" w:eastAsia="仿宋"/>
          <w:b/>
          <w:bCs/>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财政拨款支出预算情况</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ascii="仿宋" w:hAnsi="仿宋" w:eastAsia="仿宋"/>
          <w:color w:val="000000" w:themeColor="text1"/>
          <w:sz w:val="32"/>
          <w:szCs w:val="32"/>
          <w14:textFill>
            <w14:solidFill>
              <w14:schemeClr w14:val="tx1"/>
            </w14:solidFill>
          </w14:textFill>
        </w:rPr>
        <w:t xml:space="preserve">年财政拨款支出预算为 </w:t>
      </w:r>
      <w:r>
        <w:rPr>
          <w:rFonts w:hint="eastAsia" w:ascii="仿宋" w:hAnsi="仿宋" w:eastAsia="仿宋"/>
          <w:color w:val="000000" w:themeColor="text1"/>
          <w:kern w:val="0"/>
          <w:sz w:val="32"/>
          <w:szCs w:val="32"/>
          <w:lang w:val="en-US" w:eastAsia="zh-CN"/>
          <w14:textFill>
            <w14:solidFill>
              <w14:schemeClr w14:val="tx1"/>
            </w14:solidFill>
          </w14:textFill>
        </w:rPr>
        <w:t>1129.24</w:t>
      </w:r>
      <w:r>
        <w:rPr>
          <w:rFonts w:ascii="仿宋" w:hAnsi="仿宋" w:eastAsia="仿宋"/>
          <w:color w:val="000000" w:themeColor="text1"/>
          <w:sz w:val="32"/>
          <w:szCs w:val="32"/>
          <w14:textFill>
            <w14:solidFill>
              <w14:schemeClr w14:val="tx1"/>
            </w14:solidFill>
          </w14:textFill>
        </w:rPr>
        <w:t>万万元，</w:t>
      </w:r>
      <w:r>
        <w:rPr>
          <w:rFonts w:hint="eastAsia" w:ascii="仿宋" w:hAnsi="仿宋" w:eastAsia="仿宋"/>
          <w:color w:val="000000" w:themeColor="text1"/>
          <w:sz w:val="32"/>
          <w:szCs w:val="32"/>
          <w14:textFill>
            <w14:solidFill>
              <w14:schemeClr w14:val="tx1"/>
            </w14:solidFill>
          </w14:textFill>
        </w:rPr>
        <w:t>其中：经费拨款</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kern w:val="0"/>
          <w:sz w:val="32"/>
          <w:szCs w:val="32"/>
          <w:lang w:val="en-US" w:eastAsia="zh-CN"/>
          <w14:textFill>
            <w14:solidFill>
              <w14:schemeClr w14:val="tx1"/>
            </w14:solidFill>
          </w14:textFill>
        </w:rPr>
        <w:t>1129.24</w:t>
      </w:r>
      <w:r>
        <w:rPr>
          <w:rFonts w:ascii="仿宋" w:hAnsi="仿宋" w:eastAsia="仿宋"/>
          <w:color w:val="000000" w:themeColor="text1"/>
          <w:sz w:val="32"/>
          <w:szCs w:val="32"/>
          <w14:textFill>
            <w14:solidFill>
              <w14:schemeClr w14:val="tx1"/>
            </w14:solidFill>
          </w14:textFill>
        </w:rPr>
        <w:t>万</w:t>
      </w:r>
      <w:r>
        <w:rPr>
          <w:rFonts w:hint="eastAsia" w:ascii="仿宋" w:hAnsi="仿宋" w:eastAsia="仿宋"/>
          <w:color w:val="000000" w:themeColor="text1"/>
          <w:sz w:val="32"/>
          <w:szCs w:val="32"/>
          <w14:textFill>
            <w14:solidFill>
              <w14:schemeClr w14:val="tx1"/>
            </w14:solidFill>
          </w14:textFill>
        </w:rPr>
        <w:t>万元，占100%。</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年财政拨款支出预算</w:t>
      </w:r>
      <w:r>
        <w:rPr>
          <w:rFonts w:hint="eastAsia" w:ascii="仿宋" w:hAnsi="仿宋" w:eastAsia="仿宋"/>
          <w:color w:val="000000" w:themeColor="text1"/>
          <w:kern w:val="0"/>
          <w:sz w:val="32"/>
          <w:szCs w:val="32"/>
          <w:lang w:val="en-US" w:eastAsia="zh-CN"/>
          <w14:textFill>
            <w14:solidFill>
              <w14:schemeClr w14:val="tx1"/>
            </w14:solidFill>
          </w14:textFill>
        </w:rPr>
        <w:t>1129.24</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具体情况如下：</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1、一般公共服务服务支出 </w:t>
      </w:r>
      <w:r>
        <w:rPr>
          <w:rFonts w:hint="eastAsia" w:ascii="仿宋" w:hAnsi="仿宋" w:eastAsia="仿宋"/>
          <w:color w:val="000000" w:themeColor="text1"/>
          <w:sz w:val="32"/>
          <w:szCs w:val="32"/>
          <w:lang w:val="en-US" w:eastAsia="zh-CN"/>
          <w14:textFill>
            <w14:solidFill>
              <w14:schemeClr w14:val="tx1"/>
            </w14:solidFill>
          </w14:textFill>
        </w:rPr>
        <w:t>856.57</w:t>
      </w:r>
      <w:r>
        <w:rPr>
          <w:rFonts w:ascii="仿宋" w:hAnsi="仿宋" w:eastAsia="仿宋"/>
          <w:color w:val="000000" w:themeColor="text1"/>
          <w:sz w:val="32"/>
          <w:szCs w:val="32"/>
          <w14:textFill>
            <w14:solidFill>
              <w14:schemeClr w14:val="tx1"/>
            </w14:solidFill>
          </w14:textFill>
        </w:rPr>
        <w:t>万元，主要用于</w:t>
      </w:r>
      <w:r>
        <w:rPr>
          <w:rFonts w:hint="eastAsia" w:ascii="仿宋" w:hAnsi="仿宋" w:eastAsia="仿宋"/>
          <w:color w:val="000000" w:themeColor="text1"/>
          <w:sz w:val="32"/>
          <w:szCs w:val="32"/>
          <w14:textFill>
            <w14:solidFill>
              <w14:schemeClr w14:val="tx1"/>
            </w14:solidFill>
          </w14:textFill>
        </w:rPr>
        <w:t>局机关及所属事业单位人员工资、日常运转等基本支出，比上年</w:t>
      </w:r>
      <w:r>
        <w:rPr>
          <w:rFonts w:hint="eastAsia" w:ascii="仿宋" w:hAnsi="仿宋" w:eastAsia="仿宋"/>
          <w:color w:val="000000" w:themeColor="text1"/>
          <w:sz w:val="32"/>
          <w:szCs w:val="32"/>
          <w:lang w:eastAsia="zh-CN"/>
          <w14:textFill>
            <w14:solidFill>
              <w14:schemeClr w14:val="tx1"/>
            </w14:solidFill>
          </w14:textFill>
        </w:rPr>
        <w:t>减少了减少</w:t>
      </w:r>
      <w:r>
        <w:rPr>
          <w:rFonts w:hint="eastAsia" w:ascii="仿宋" w:hAnsi="仿宋" w:eastAsia="仿宋"/>
          <w:color w:val="000000" w:themeColor="text1"/>
          <w:sz w:val="32"/>
          <w:szCs w:val="32"/>
          <w:lang w:val="en-US" w:eastAsia="zh-CN"/>
          <w14:textFill>
            <w14:solidFill>
              <w14:schemeClr w14:val="tx1"/>
            </w14:solidFill>
          </w14:textFill>
        </w:rPr>
        <w:t>4.7</w:t>
      </w:r>
      <w:r>
        <w:rPr>
          <w:rFonts w:hint="eastAsia" w:ascii="仿宋" w:hAnsi="仿宋" w:eastAsia="仿宋"/>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lang w:eastAsia="zh-CN"/>
          <w14:textFill>
            <w14:solidFill>
              <w14:schemeClr w14:val="tx1"/>
            </w14:solidFill>
          </w14:textFill>
        </w:rPr>
        <w:t>经费压减</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2、教育支出</w:t>
      </w:r>
      <w:r>
        <w:rPr>
          <w:rFonts w:hint="eastAsia"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主要用于商务系统职工培训再教育的专项支出，比上年</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%，主要原因是组织部统一批复的培训费用不再列支我单位预算</w:t>
      </w:r>
      <w:r>
        <w:rPr>
          <w:rFonts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3、住房保障支出</w:t>
      </w:r>
      <w:r>
        <w:rPr>
          <w:rFonts w:hint="eastAsia" w:ascii="仿宋" w:hAnsi="仿宋" w:eastAsia="仿宋"/>
          <w:color w:val="000000" w:themeColor="text1"/>
          <w:sz w:val="32"/>
          <w:szCs w:val="32"/>
          <w14:textFill>
            <w14:solidFill>
              <w14:schemeClr w14:val="tx1"/>
            </w14:solidFill>
          </w14:textFill>
        </w:rPr>
        <w:t>69.</w:t>
      </w:r>
      <w:r>
        <w:rPr>
          <w:rFonts w:hint="eastAsia" w:ascii="仿宋" w:hAnsi="仿宋" w:eastAsia="仿宋"/>
          <w:color w:val="000000" w:themeColor="text1"/>
          <w:sz w:val="32"/>
          <w:szCs w:val="32"/>
          <w:lang w:val="en-US" w:eastAsia="zh-CN"/>
          <w14:textFill>
            <w14:solidFill>
              <w14:schemeClr w14:val="tx1"/>
            </w14:solidFill>
          </w14:textFill>
        </w:rPr>
        <w:t>73</w:t>
      </w:r>
      <w:r>
        <w:rPr>
          <w:rFonts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主要是单位职工的住房公积金费用。比上年增加了0.5%，主要原因是</w:t>
      </w:r>
      <w:r>
        <w:rPr>
          <w:rFonts w:hint="eastAsia" w:ascii="仿宋" w:hAnsi="仿宋" w:eastAsia="仿宋"/>
          <w:color w:val="000000" w:themeColor="text1"/>
          <w:sz w:val="32"/>
          <w:szCs w:val="32"/>
          <w:lang w:eastAsia="zh-CN"/>
          <w14:textFill>
            <w14:solidFill>
              <w14:schemeClr w14:val="tx1"/>
            </w14:solidFill>
          </w14:textFill>
        </w:rPr>
        <w:t>增资</w:t>
      </w:r>
      <w:r>
        <w:rPr>
          <w:rFonts w:hint="eastAsia" w:ascii="仿宋" w:hAnsi="仿宋" w:eastAsia="仿宋"/>
          <w:color w:val="000000" w:themeColor="text1"/>
          <w:sz w:val="32"/>
          <w:szCs w:val="32"/>
          <w14:textFill>
            <w14:solidFill>
              <w14:schemeClr w14:val="tx1"/>
            </w14:solidFill>
          </w14:textFill>
        </w:rPr>
        <w:t>。</w:t>
      </w:r>
    </w:p>
    <w:p>
      <w:pPr>
        <w:spacing w:line="600" w:lineRule="exact"/>
        <w:ind w:left="359" w:leftChars="171"/>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三</w:t>
      </w:r>
      <w:r>
        <w:rPr>
          <w:rFonts w:hint="eastAsia" w:ascii="仿宋" w:hAnsi="仿宋" w:eastAsia="仿宋"/>
          <w:b/>
          <w:bCs/>
          <w:color w:val="000000" w:themeColor="text1"/>
          <w:sz w:val="32"/>
          <w:szCs w:val="32"/>
          <w14:textFill>
            <w14:solidFill>
              <w14:schemeClr w14:val="tx1"/>
            </w14:solidFill>
          </w14:textFill>
        </w:rPr>
        <w:t>）</w:t>
      </w:r>
      <w:r>
        <w:rPr>
          <w:rFonts w:ascii="仿宋" w:hAnsi="仿宋" w:eastAsia="仿宋"/>
          <w:b/>
          <w:bCs/>
          <w:color w:val="000000" w:themeColor="text1"/>
          <w:sz w:val="32"/>
          <w:szCs w:val="32"/>
          <w14:textFill>
            <w14:solidFill>
              <w14:schemeClr w14:val="tx1"/>
            </w14:solidFill>
          </w14:textFill>
        </w:rPr>
        <w:t>、一般公共预算财政</w:t>
      </w:r>
      <w:r>
        <w:rPr>
          <w:rFonts w:hint="eastAsia" w:ascii="仿宋" w:hAnsi="仿宋" w:eastAsia="仿宋"/>
          <w:b/>
          <w:bCs/>
          <w:color w:val="000000" w:themeColor="text1"/>
          <w:sz w:val="32"/>
          <w:szCs w:val="32"/>
          <w14:textFill>
            <w14:solidFill>
              <w14:schemeClr w14:val="tx1"/>
            </w14:solidFill>
          </w14:textFill>
        </w:rPr>
        <w:t>拨款支出情况</w:t>
      </w:r>
    </w:p>
    <w:p>
      <w:pPr>
        <w:spacing w:line="600" w:lineRule="exact"/>
        <w:ind w:left="359" w:leftChars="171"/>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   201</w:t>
      </w:r>
      <w:r>
        <w:rPr>
          <w:rFonts w:hint="eastAsia" w:ascii="仿宋" w:hAnsi="仿宋" w:eastAsia="仿宋"/>
          <w:bCs/>
          <w:color w:val="000000" w:themeColor="text1"/>
          <w:sz w:val="32"/>
          <w:szCs w:val="32"/>
          <w:lang w:val="en-US" w:eastAsia="zh-CN"/>
          <w14:textFill>
            <w14:solidFill>
              <w14:schemeClr w14:val="tx1"/>
            </w14:solidFill>
          </w14:textFill>
        </w:rPr>
        <w:t>9</w:t>
      </w:r>
      <w:r>
        <w:rPr>
          <w:rFonts w:hint="eastAsia" w:ascii="仿宋" w:hAnsi="仿宋" w:eastAsia="仿宋"/>
          <w:bCs/>
          <w:color w:val="000000" w:themeColor="text1"/>
          <w:sz w:val="32"/>
          <w:szCs w:val="32"/>
          <w14:textFill>
            <w14:solidFill>
              <w14:schemeClr w14:val="tx1"/>
            </w14:solidFill>
          </w14:textFill>
        </w:rPr>
        <w:t>年当年一般公共预算支出为</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kern w:val="0"/>
          <w:sz w:val="32"/>
          <w:szCs w:val="32"/>
          <w:lang w:val="en-US" w:eastAsia="zh-CN"/>
          <w14:textFill>
            <w14:solidFill>
              <w14:schemeClr w14:val="tx1"/>
            </w14:solidFill>
          </w14:textFill>
        </w:rPr>
        <w:t>1129.24</w:t>
      </w:r>
      <w:r>
        <w:rPr>
          <w:rFonts w:hint="eastAsia" w:ascii="仿宋" w:hAnsi="仿宋" w:eastAsia="仿宋"/>
          <w:bCs/>
          <w:color w:val="000000" w:themeColor="text1"/>
          <w:sz w:val="32"/>
          <w:szCs w:val="32"/>
          <w14:textFill>
            <w14:solidFill>
              <w14:schemeClr w14:val="tx1"/>
            </w14:solidFill>
          </w14:textFill>
        </w:rPr>
        <w:t>万元，其中：</w:t>
      </w:r>
    </w:p>
    <w:p>
      <w:pPr>
        <w:spacing w:line="600" w:lineRule="exact"/>
        <w:ind w:left="359" w:leftChars="171"/>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   1、一般公共服务类，商贸事务，行政运行、一般行政管理事务、招商引资、事业运行</w:t>
      </w:r>
      <w:r>
        <w:rPr>
          <w:rFonts w:hint="eastAsia" w:ascii="仿宋" w:hAnsi="仿宋" w:eastAsia="仿宋"/>
          <w:color w:val="000000" w:themeColor="text1"/>
          <w:sz w:val="32"/>
          <w:szCs w:val="32"/>
          <w:lang w:val="en-US" w:eastAsia="zh-CN"/>
          <w14:textFill>
            <w14:solidFill>
              <w14:schemeClr w14:val="tx1"/>
            </w14:solidFill>
          </w14:textFill>
        </w:rPr>
        <w:t>856.57</w:t>
      </w:r>
      <w:r>
        <w:rPr>
          <w:rFonts w:hint="eastAsia" w:ascii="仿宋" w:hAnsi="仿宋" w:eastAsia="仿宋"/>
          <w:bCs/>
          <w:color w:val="000000" w:themeColor="text1"/>
          <w:sz w:val="32"/>
          <w:szCs w:val="32"/>
          <w14:textFill>
            <w14:solidFill>
              <w14:schemeClr w14:val="tx1"/>
            </w14:solidFill>
          </w14:textFill>
        </w:rPr>
        <w:t>万元，主要用于维护单位行政运行的基本支出，比上年减少</w:t>
      </w:r>
      <w:r>
        <w:rPr>
          <w:rFonts w:hint="eastAsia" w:ascii="仿宋" w:hAnsi="仿宋" w:eastAsia="仿宋"/>
          <w:bCs/>
          <w:color w:val="000000" w:themeColor="text1"/>
          <w:sz w:val="32"/>
          <w:szCs w:val="32"/>
          <w:lang w:val="en-US" w:eastAsia="zh-CN"/>
          <w14:textFill>
            <w14:solidFill>
              <w14:schemeClr w14:val="tx1"/>
            </w14:solidFill>
          </w14:textFill>
        </w:rPr>
        <w:t>4.7</w:t>
      </w:r>
      <w:r>
        <w:rPr>
          <w:rFonts w:hint="eastAsia" w:ascii="仿宋" w:hAnsi="仿宋" w:eastAsia="仿宋"/>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lang w:eastAsia="zh-CN"/>
          <w14:textFill>
            <w14:solidFill>
              <w14:schemeClr w14:val="tx1"/>
            </w14:solidFill>
          </w14:textFill>
        </w:rPr>
        <w:t>经费压减</w:t>
      </w:r>
      <w:r>
        <w:rPr>
          <w:rFonts w:hint="eastAsia" w:ascii="仿宋" w:hAnsi="仿宋" w:eastAsia="仿宋"/>
          <w:color w:val="000000" w:themeColor="text1"/>
          <w:sz w:val="32"/>
          <w:szCs w:val="32"/>
          <w14:textFill>
            <w14:solidFill>
              <w14:schemeClr w14:val="tx1"/>
            </w14:solidFill>
          </w14:textFill>
        </w:rPr>
        <w:t>。</w:t>
      </w:r>
    </w:p>
    <w:p>
      <w:pPr>
        <w:spacing w:line="600" w:lineRule="exact"/>
        <w:ind w:left="359" w:leftChars="171"/>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2、教育支出类，进修及培训，培训支出9.</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万元，主要用于商务系统职工培训再教育的专项支出，比上年</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%，主要原因是</w:t>
      </w:r>
      <w:r>
        <w:rPr>
          <w:rFonts w:hint="eastAsia" w:ascii="仿宋" w:hAnsi="仿宋" w:eastAsia="仿宋"/>
          <w:color w:val="000000" w:themeColor="text1"/>
          <w:sz w:val="32"/>
          <w:szCs w:val="32"/>
          <w:lang w:eastAsia="zh-CN"/>
          <w14:textFill>
            <w14:solidFill>
              <w14:schemeClr w14:val="tx1"/>
            </w14:solidFill>
          </w14:textFill>
        </w:rPr>
        <w:t>增资，按比例提高，</w:t>
      </w:r>
      <w:r>
        <w:rPr>
          <w:rFonts w:hint="eastAsia" w:ascii="仿宋" w:hAnsi="仿宋" w:eastAsia="仿宋"/>
          <w:color w:val="000000" w:themeColor="text1"/>
          <w:sz w:val="32"/>
          <w:szCs w:val="32"/>
          <w14:textFill>
            <w14:solidFill>
              <w14:schemeClr w14:val="tx1"/>
            </w14:solidFill>
          </w14:textFill>
        </w:rPr>
        <w:t>组织部统一批复的培训费用不再列支我单位预算</w:t>
      </w:r>
      <w:r>
        <w:rPr>
          <w:rFonts w:ascii="仿宋" w:hAnsi="仿宋" w:eastAsia="仿宋"/>
          <w:color w:val="000000" w:themeColor="text1"/>
          <w:sz w:val="32"/>
          <w:szCs w:val="32"/>
          <w14:textFill>
            <w14:solidFill>
              <w14:schemeClr w14:val="tx1"/>
            </w14:solidFill>
          </w14:textFill>
        </w:rPr>
        <w:t>。</w:t>
      </w:r>
    </w:p>
    <w:p>
      <w:pPr>
        <w:spacing w:line="600" w:lineRule="exact"/>
        <w:ind w:left="359" w:leftChars="171"/>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3、住房保障类，住房改革支出，住房公积金69.</w:t>
      </w:r>
      <w:r>
        <w:rPr>
          <w:rFonts w:hint="eastAsia" w:ascii="仿宋" w:hAnsi="仿宋" w:eastAsia="仿宋"/>
          <w:color w:val="000000" w:themeColor="text1"/>
          <w:sz w:val="32"/>
          <w:szCs w:val="32"/>
          <w:lang w:val="en-US" w:eastAsia="zh-CN"/>
          <w14:textFill>
            <w14:solidFill>
              <w14:schemeClr w14:val="tx1"/>
            </w14:solidFill>
          </w14:textFill>
        </w:rPr>
        <w:t>73</w:t>
      </w:r>
      <w:r>
        <w:rPr>
          <w:rFonts w:hint="eastAsia" w:ascii="仿宋" w:hAnsi="仿宋" w:eastAsia="仿宋"/>
          <w:color w:val="000000" w:themeColor="text1"/>
          <w:sz w:val="32"/>
          <w:szCs w:val="32"/>
          <w14:textFill>
            <w14:solidFill>
              <w14:schemeClr w14:val="tx1"/>
            </w14:solidFill>
          </w14:textFill>
        </w:rPr>
        <w:t>万元，主要是单位职工的住房公积金费用。比上年增加了0.5%，主要原因是</w:t>
      </w:r>
      <w:r>
        <w:rPr>
          <w:rFonts w:hint="eastAsia" w:ascii="仿宋" w:hAnsi="仿宋" w:eastAsia="仿宋"/>
          <w:color w:val="000000" w:themeColor="text1"/>
          <w:sz w:val="32"/>
          <w:szCs w:val="32"/>
          <w:lang w:eastAsia="zh-CN"/>
          <w14:textFill>
            <w14:solidFill>
              <w14:schemeClr w14:val="tx1"/>
            </w14:solidFill>
          </w14:textFill>
        </w:rPr>
        <w:t>增资</w:t>
      </w:r>
      <w:r>
        <w:rPr>
          <w:rFonts w:hint="eastAsia" w:ascii="仿宋" w:hAnsi="仿宋" w:eastAsia="仿宋"/>
          <w:color w:val="000000" w:themeColor="text1"/>
          <w:sz w:val="32"/>
          <w:szCs w:val="32"/>
          <w14:textFill>
            <w14:solidFill>
              <w14:schemeClr w14:val="tx1"/>
            </w14:solidFill>
          </w14:textFill>
        </w:rPr>
        <w:t>。</w:t>
      </w:r>
    </w:p>
    <w:p>
      <w:pPr>
        <w:spacing w:line="600" w:lineRule="exact"/>
        <w:ind w:left="359" w:leftChars="171"/>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（四）政府性基金支出预算情况</w:t>
      </w:r>
    </w:p>
    <w:p>
      <w:pPr>
        <w:spacing w:line="600" w:lineRule="exact"/>
        <w:ind w:left="359" w:leftChars="17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年无政府性基金预算。</w:t>
      </w:r>
    </w:p>
    <w:p>
      <w:pPr>
        <w:spacing w:line="600" w:lineRule="exact"/>
        <w:ind w:left="359" w:leftChars="171"/>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（五）财政拨款安排的基本支出情况</w:t>
      </w:r>
    </w:p>
    <w:p>
      <w:pPr>
        <w:spacing w:line="600" w:lineRule="exact"/>
        <w:ind w:left="359" w:leftChars="171"/>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     201</w:t>
      </w:r>
      <w:r>
        <w:rPr>
          <w:rFonts w:hint="eastAsia" w:ascii="仿宋" w:hAnsi="仿宋" w:eastAsia="仿宋"/>
          <w:bCs/>
          <w:color w:val="000000" w:themeColor="text1"/>
          <w:sz w:val="32"/>
          <w:szCs w:val="32"/>
          <w:lang w:val="en-US" w:eastAsia="zh-CN"/>
          <w14:textFill>
            <w14:solidFill>
              <w14:schemeClr w14:val="tx1"/>
            </w14:solidFill>
          </w14:textFill>
        </w:rPr>
        <w:t>9</w:t>
      </w:r>
      <w:r>
        <w:rPr>
          <w:rFonts w:hint="eastAsia" w:ascii="仿宋" w:hAnsi="仿宋" w:eastAsia="仿宋"/>
          <w:bCs/>
          <w:color w:val="000000" w:themeColor="text1"/>
          <w:sz w:val="32"/>
          <w:szCs w:val="32"/>
          <w14:textFill>
            <w14:solidFill>
              <w14:schemeClr w14:val="tx1"/>
            </w14:solidFill>
          </w14:textFill>
        </w:rPr>
        <w:t>财政拨款安排的基本支出预算</w:t>
      </w:r>
      <w:r>
        <w:rPr>
          <w:rFonts w:hint="eastAsia" w:ascii="仿宋" w:hAnsi="仿宋" w:eastAsia="仿宋"/>
          <w:bCs/>
          <w:color w:val="000000" w:themeColor="text1"/>
          <w:sz w:val="32"/>
          <w:szCs w:val="32"/>
          <w:lang w:val="en-US" w:eastAsia="zh-CN"/>
          <w14:textFill>
            <w14:solidFill>
              <w14:schemeClr w14:val="tx1"/>
            </w14:solidFill>
          </w14:textFill>
        </w:rPr>
        <w:t>1038</w:t>
      </w:r>
      <w:r>
        <w:rPr>
          <w:rFonts w:hint="eastAsia" w:ascii="仿宋" w:hAnsi="仿宋" w:eastAsia="仿宋"/>
          <w:bCs/>
          <w:color w:val="000000" w:themeColor="text1"/>
          <w:sz w:val="32"/>
          <w:szCs w:val="32"/>
          <w14:textFill>
            <w14:solidFill>
              <w14:schemeClr w14:val="tx1"/>
            </w14:solidFill>
          </w14:textFill>
        </w:rPr>
        <w:t>万元，其中：</w:t>
      </w:r>
    </w:p>
    <w:p>
      <w:pPr>
        <w:spacing w:line="600" w:lineRule="exact"/>
        <w:ind w:left="359" w:leftChars="171"/>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人员经费</w:t>
      </w:r>
      <w:r>
        <w:rPr>
          <w:rFonts w:hint="eastAsia" w:ascii="仿宋" w:hAnsi="仿宋" w:eastAsia="仿宋"/>
          <w:bCs/>
          <w:color w:val="000000" w:themeColor="text1"/>
          <w:sz w:val="32"/>
          <w:szCs w:val="32"/>
          <w:lang w:val="en-US" w:eastAsia="zh-CN"/>
          <w14:textFill>
            <w14:solidFill>
              <w14:schemeClr w14:val="tx1"/>
            </w14:solidFill>
          </w14:textFill>
        </w:rPr>
        <w:t>952.78</w:t>
      </w:r>
      <w:r>
        <w:rPr>
          <w:rFonts w:hint="eastAsia" w:ascii="仿宋" w:hAnsi="仿宋" w:eastAsia="仿宋"/>
          <w:bCs/>
          <w:color w:val="000000" w:themeColor="text1"/>
          <w:sz w:val="32"/>
          <w:szCs w:val="32"/>
          <w14:textFill>
            <w14:solidFill>
              <w14:schemeClr w14:val="tx1"/>
            </w14:solidFill>
          </w14:textFill>
        </w:rPr>
        <w:t>万元，主要包括：基本工资、津贴补贴、奖金、绩效工资、城镇职工基本医疗保险缴费、住房公积金和其他工资福利支出等，比上年</w:t>
      </w:r>
      <w:r>
        <w:rPr>
          <w:rFonts w:hint="eastAsia" w:ascii="仿宋" w:hAnsi="仿宋" w:eastAsia="仿宋"/>
          <w:color w:val="000000" w:themeColor="text1"/>
          <w:sz w:val="32"/>
          <w:szCs w:val="32"/>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35</w:t>
      </w:r>
      <w:r>
        <w:rPr>
          <w:rFonts w:hint="eastAsia" w:ascii="仿宋" w:hAnsi="仿宋" w:eastAsia="仿宋"/>
          <w:color w:val="000000" w:themeColor="text1"/>
          <w:sz w:val="32"/>
          <w:szCs w:val="32"/>
          <w14:textFill>
            <w14:solidFill>
              <w14:schemeClr w14:val="tx1"/>
            </w14:solidFill>
          </w14:textFill>
        </w:rPr>
        <w:t>%，主要原因是2017年增</w:t>
      </w:r>
      <w:r>
        <w:rPr>
          <w:rFonts w:hint="eastAsia" w:ascii="仿宋" w:hAnsi="仿宋" w:eastAsia="仿宋"/>
          <w:color w:val="000000" w:themeColor="text1"/>
          <w:sz w:val="32"/>
          <w:szCs w:val="32"/>
          <w:lang w:eastAsia="zh-CN"/>
          <w14:textFill>
            <w14:solidFill>
              <w14:schemeClr w14:val="tx1"/>
            </w14:solidFill>
          </w14:textFill>
        </w:rPr>
        <w:t>资</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720" w:firstLineChars="22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日常共用经费</w:t>
      </w:r>
      <w:r>
        <w:rPr>
          <w:rFonts w:hint="eastAsia" w:ascii="仿宋" w:hAnsi="仿宋" w:eastAsia="仿宋"/>
          <w:color w:val="000000" w:themeColor="text1"/>
          <w:sz w:val="32"/>
          <w:szCs w:val="32"/>
          <w:lang w:val="en-US" w:eastAsia="zh-CN"/>
          <w14:textFill>
            <w14:solidFill>
              <w14:schemeClr w14:val="tx1"/>
            </w14:solidFill>
          </w14:textFill>
        </w:rPr>
        <w:t>176.46</w:t>
      </w:r>
      <w:r>
        <w:rPr>
          <w:rFonts w:hint="eastAsia" w:ascii="仿宋" w:hAnsi="仿宋" w:eastAsia="仿宋"/>
          <w:color w:val="000000" w:themeColor="text1"/>
          <w:sz w:val="32"/>
          <w:szCs w:val="32"/>
          <w14:textFill>
            <w14:solidFill>
              <w14:schemeClr w14:val="tx1"/>
            </w14:solidFill>
          </w14:textFill>
        </w:rPr>
        <w:t>万，主要包括：办公费、印刷费、邮电费、物业管理费、差旅费、因公出国费、会议费、培训费、公务接待费、工会经费、福利费、公务用车运行维护费、其他交通费用等。比上年减少</w:t>
      </w:r>
      <w:r>
        <w:rPr>
          <w:rFonts w:hint="eastAsia" w:ascii="仿宋" w:hAnsi="仿宋" w:eastAsia="仿宋"/>
          <w:color w:val="000000" w:themeColor="text1"/>
          <w:sz w:val="32"/>
          <w:szCs w:val="32"/>
          <w:lang w:val="en-US" w:eastAsia="zh-CN"/>
          <w14:textFill>
            <w14:solidFill>
              <w14:schemeClr w14:val="tx1"/>
            </w14:solidFill>
          </w14:textFill>
        </w:rPr>
        <w:t>20.67</w:t>
      </w:r>
      <w:r>
        <w:rPr>
          <w:rFonts w:hint="eastAsia" w:ascii="仿宋" w:hAnsi="仿宋" w:eastAsia="仿宋"/>
          <w:color w:val="000000" w:themeColor="text1"/>
          <w:sz w:val="32"/>
          <w:szCs w:val="32"/>
          <w14:textFill>
            <w14:solidFill>
              <w14:schemeClr w14:val="tx1"/>
            </w14:solidFill>
          </w14:textFill>
        </w:rPr>
        <w:t>%,原因是201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经费压减统一要求。</w:t>
      </w:r>
    </w:p>
    <w:p>
      <w:pPr>
        <w:spacing w:line="600" w:lineRule="exact"/>
        <w:ind w:left="359" w:leftChars="171"/>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二、重要事项说明</w:t>
      </w:r>
    </w:p>
    <w:p>
      <w:pPr>
        <w:spacing w:line="600" w:lineRule="exact"/>
        <w:ind w:left="359" w:leftChars="171"/>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（一）政府采购情况</w:t>
      </w:r>
    </w:p>
    <w:p>
      <w:pPr>
        <w:spacing w:line="600" w:lineRule="exact"/>
        <w:ind w:left="359" w:leftChars="171"/>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 201</w:t>
      </w:r>
      <w:r>
        <w:rPr>
          <w:rFonts w:hint="eastAsia" w:ascii="仿宋" w:hAnsi="仿宋" w:eastAsia="仿宋"/>
          <w:bCs/>
          <w:color w:val="000000" w:themeColor="text1"/>
          <w:sz w:val="32"/>
          <w:szCs w:val="32"/>
          <w:lang w:val="en-US" w:eastAsia="zh-CN"/>
          <w14:textFill>
            <w14:solidFill>
              <w14:schemeClr w14:val="tx1"/>
            </w14:solidFill>
          </w14:textFill>
        </w:rPr>
        <w:t>9</w:t>
      </w:r>
      <w:r>
        <w:rPr>
          <w:rFonts w:hint="eastAsia" w:ascii="仿宋" w:hAnsi="仿宋" w:eastAsia="仿宋"/>
          <w:bCs/>
          <w:color w:val="000000" w:themeColor="text1"/>
          <w:sz w:val="32"/>
          <w:szCs w:val="32"/>
          <w14:textFill>
            <w14:solidFill>
              <w14:schemeClr w14:val="tx1"/>
            </w14:solidFill>
          </w14:textFill>
        </w:rPr>
        <w:t>年无政府采购预算安排。</w:t>
      </w:r>
    </w:p>
    <w:p>
      <w:pPr>
        <w:spacing w:line="600" w:lineRule="exact"/>
        <w:ind w:left="359" w:leftChars="171"/>
        <w:rPr>
          <w:rFonts w:hint="eastAsia"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（二）财政拨款安排的</w:t>
      </w:r>
      <w:bookmarkStart w:id="9" w:name="_GoBack"/>
      <w:bookmarkEnd w:id="9"/>
      <w:r>
        <w:rPr>
          <w:rFonts w:hint="eastAsia" w:ascii="仿宋" w:hAnsi="仿宋" w:eastAsia="仿宋"/>
          <w:b/>
          <w:bCs/>
          <w:color w:val="000000" w:themeColor="text1"/>
          <w:sz w:val="32"/>
          <w:szCs w:val="32"/>
          <w14:textFill>
            <w14:solidFill>
              <w14:schemeClr w14:val="tx1"/>
            </w14:solidFill>
          </w14:textFill>
        </w:rPr>
        <w:t>“三公”经费情况</w:t>
      </w:r>
    </w:p>
    <w:p>
      <w:pPr>
        <w:spacing w:line="600" w:lineRule="exact"/>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201</w:t>
      </w:r>
      <w:r>
        <w:rPr>
          <w:rFonts w:hint="eastAsia" w:ascii="仿宋" w:hAnsi="仿宋" w:eastAsia="仿宋"/>
          <w:color w:val="000000" w:themeColor="text1"/>
          <w:sz w:val="32"/>
          <w:szCs w:val="32"/>
          <w:lang w:val="en-US" w:eastAsia="zh-CN"/>
          <w14:textFill>
            <w14:solidFill>
              <w14:schemeClr w14:val="tx1"/>
            </w14:solidFill>
          </w14:textFill>
        </w:rPr>
        <w:t>9</w:t>
      </w:r>
      <w:r>
        <w:rPr>
          <w:rFonts w:ascii="仿宋" w:hAnsi="仿宋" w:eastAsia="仿宋"/>
          <w:color w:val="000000" w:themeColor="text1"/>
          <w:sz w:val="32"/>
          <w:szCs w:val="32"/>
          <w14:textFill>
            <w14:solidFill>
              <w14:schemeClr w14:val="tx1"/>
            </w14:solidFill>
          </w14:textFill>
        </w:rPr>
        <w:t>年，通过</w:t>
      </w:r>
      <w:r>
        <w:rPr>
          <w:rFonts w:hint="eastAsia" w:ascii="仿宋" w:hAnsi="仿宋" w:eastAsia="仿宋"/>
          <w:color w:val="000000" w:themeColor="text1"/>
          <w:sz w:val="32"/>
          <w:szCs w:val="32"/>
          <w14:textFill>
            <w14:solidFill>
              <w14:schemeClr w14:val="tx1"/>
            </w14:solidFill>
          </w14:textFill>
        </w:rPr>
        <w:t>一般</w:t>
      </w:r>
      <w:r>
        <w:rPr>
          <w:rFonts w:ascii="仿宋" w:hAnsi="仿宋" w:eastAsia="仿宋"/>
          <w:color w:val="000000" w:themeColor="text1"/>
          <w:sz w:val="32"/>
          <w:szCs w:val="32"/>
          <w14:textFill>
            <w14:solidFill>
              <w14:schemeClr w14:val="tx1"/>
            </w14:solidFill>
          </w14:textFill>
        </w:rPr>
        <w:t xml:space="preserve">公共预算财政拨款安排的“三公”经费预算共 </w:t>
      </w:r>
      <w:r>
        <w:rPr>
          <w:rFonts w:hint="eastAsia" w:ascii="仿宋" w:hAnsi="仿宋" w:eastAsia="仿宋"/>
          <w:color w:val="000000" w:themeColor="text1"/>
          <w:sz w:val="32"/>
          <w:szCs w:val="32"/>
          <w:lang w:val="en-US" w:eastAsia="zh-CN"/>
          <w14:textFill>
            <w14:solidFill>
              <w14:schemeClr w14:val="tx1"/>
            </w14:solidFill>
          </w14:textFill>
        </w:rPr>
        <w:t>32.69</w:t>
      </w:r>
      <w:r>
        <w:rPr>
          <w:rFonts w:ascii="仿宋" w:hAnsi="仿宋" w:eastAsia="仿宋"/>
          <w:color w:val="000000" w:themeColor="text1"/>
          <w:sz w:val="32"/>
          <w:szCs w:val="32"/>
          <w14:textFill>
            <w14:solidFill>
              <w14:schemeClr w14:val="tx1"/>
            </w14:solidFill>
          </w14:textFill>
        </w:rPr>
        <w:t xml:space="preserve"> 万元</w:t>
      </w:r>
      <w:r>
        <w:rPr>
          <w:rFonts w:hint="eastAsia" w:ascii="仿宋" w:hAnsi="仿宋" w:eastAsia="仿宋"/>
          <w:color w:val="000000" w:themeColor="text1"/>
          <w:sz w:val="32"/>
          <w:szCs w:val="32"/>
          <w14:textFill>
            <w14:solidFill>
              <w14:schemeClr w14:val="tx1"/>
            </w14:solidFill>
          </w14:textFill>
        </w:rPr>
        <w:t>，其中：因公出国(境)费3</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万元（与2017年基本持平），公务用车购置及运行费</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万元、公务接待费用</w:t>
      </w:r>
      <w:r>
        <w:rPr>
          <w:rFonts w:hint="eastAsia" w:ascii="仿宋" w:hAnsi="仿宋" w:eastAsia="仿宋"/>
          <w:color w:val="000000" w:themeColor="text1"/>
          <w:sz w:val="32"/>
          <w:szCs w:val="32"/>
          <w:lang w:val="en-US" w:eastAsia="zh-CN"/>
          <w14:textFill>
            <w14:solidFill>
              <w14:schemeClr w14:val="tx1"/>
            </w14:solidFill>
          </w14:textFill>
        </w:rPr>
        <w:t>0.69</w:t>
      </w:r>
      <w:r>
        <w:rPr>
          <w:rFonts w:hint="eastAsia" w:ascii="仿宋" w:hAnsi="仿宋" w:eastAsia="仿宋"/>
          <w:color w:val="000000" w:themeColor="text1"/>
          <w:sz w:val="32"/>
          <w:szCs w:val="32"/>
          <w14:textFill>
            <w14:solidFill>
              <w14:schemeClr w14:val="tx1"/>
            </w14:solidFill>
          </w14:textFill>
        </w:rPr>
        <w:t>万元元。</w:t>
      </w:r>
    </w:p>
    <w:p>
      <w:pPr>
        <w:spacing w:line="600" w:lineRule="exact"/>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（三）机关运行经费情况</w:t>
      </w: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19</w:t>
      </w:r>
      <w:r>
        <w:rPr>
          <w:rFonts w:hint="eastAsia" w:ascii="仿宋" w:hAnsi="仿宋" w:eastAsia="仿宋"/>
          <w:color w:val="000000" w:themeColor="text1"/>
          <w:sz w:val="32"/>
          <w:szCs w:val="32"/>
          <w14:textFill>
            <w14:solidFill>
              <w14:schemeClr w14:val="tx1"/>
            </w14:solidFill>
          </w14:textFill>
        </w:rPr>
        <w:t>年机关运行</w:t>
      </w:r>
      <w:r>
        <w:rPr>
          <w:rFonts w:hint="eastAsia" w:ascii="仿宋" w:hAnsi="仿宋" w:eastAsia="仿宋"/>
          <w:color w:val="000000" w:themeColor="text1"/>
          <w:sz w:val="32"/>
          <w:szCs w:val="32"/>
          <w:lang w:val="en-US" w:eastAsia="zh-CN"/>
          <w14:textFill>
            <w14:solidFill>
              <w14:schemeClr w14:val="tx1"/>
            </w14:solidFill>
          </w14:textFill>
        </w:rPr>
        <w:t>176.46</w:t>
      </w:r>
      <w:r>
        <w:rPr>
          <w:rFonts w:hint="eastAsia" w:ascii="仿宋" w:hAnsi="仿宋" w:eastAsia="仿宋"/>
          <w:color w:val="000000" w:themeColor="text1"/>
          <w:sz w:val="32"/>
          <w:szCs w:val="32"/>
          <w14:textFill>
            <w14:solidFill>
              <w14:schemeClr w14:val="tx1"/>
            </w14:solidFill>
          </w14:textFill>
        </w:rPr>
        <w:t>万，比上年减少</w:t>
      </w:r>
      <w:r>
        <w:rPr>
          <w:rFonts w:hint="eastAsia" w:ascii="仿宋" w:hAnsi="仿宋" w:eastAsia="仿宋"/>
          <w:color w:val="000000" w:themeColor="text1"/>
          <w:sz w:val="32"/>
          <w:szCs w:val="32"/>
          <w:lang w:val="en-US" w:eastAsia="zh-CN"/>
          <w14:textFill>
            <w14:solidFill>
              <w14:schemeClr w14:val="tx1"/>
            </w14:solidFill>
          </w14:textFill>
        </w:rPr>
        <w:t>20.67</w:t>
      </w:r>
      <w:r>
        <w:rPr>
          <w:rFonts w:hint="eastAsia" w:ascii="仿宋" w:hAnsi="仿宋" w:eastAsia="仿宋"/>
          <w:color w:val="000000" w:themeColor="text1"/>
          <w:sz w:val="32"/>
          <w:szCs w:val="32"/>
          <w14:textFill>
            <w14:solidFill>
              <w14:schemeClr w14:val="tx1"/>
            </w14:solidFill>
          </w14:textFill>
        </w:rPr>
        <w:t>%，主要原因是财政统一压减。</w:t>
      </w:r>
    </w:p>
    <w:p>
      <w:pPr>
        <w:spacing w:line="600" w:lineRule="exact"/>
        <w:rPr>
          <w:rFonts w:hint="eastAsia"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（四）国有资源（资产）占有使用情况</w:t>
      </w: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占有公务用车</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辆。</w:t>
      </w:r>
    </w:p>
    <w:p>
      <w:pPr>
        <w:spacing w:line="600" w:lineRule="exac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00"/>
        <w:rPr>
          <w:rFonts w:ascii="仿宋" w:hAnsi="仿宋" w:eastAsia="仿宋"/>
          <w:color w:val="000000" w:themeColor="text1"/>
          <w:kern w:val="0"/>
          <w:sz w:val="32"/>
          <w:szCs w:val="32"/>
          <w14:textFill>
            <w14:solidFill>
              <w14:schemeClr w14:val="tx1"/>
            </w14:solidFill>
          </w14:textFill>
        </w:rPr>
        <w:sectPr>
          <w:pgSz w:w="16838" w:h="11906" w:orient="landscape"/>
          <w:pgMar w:top="850" w:right="1440" w:bottom="850" w:left="1440" w:header="720" w:footer="720" w:gutter="0"/>
          <w:cols w:space="720" w:num="1"/>
          <w:docGrid w:type="lines" w:linePitch="312" w:charSpace="0"/>
        </w:sectPr>
      </w:pPr>
    </w:p>
    <w:p>
      <w:pPr>
        <w:autoSpaceDE w:val="0"/>
        <w:autoSpaceDN w:val="0"/>
        <w:adjustRightInd w:val="0"/>
        <w:jc w:val="center"/>
        <w:rPr>
          <w:rFonts w:hint="eastAsia" w:ascii="仿宋" w:hAnsi="仿宋" w:eastAsia="仿宋"/>
          <w:b/>
          <w:color w:val="000000"/>
          <w:kern w:val="0"/>
          <w:sz w:val="44"/>
          <w:szCs w:val="44"/>
        </w:rPr>
      </w:pPr>
      <w:r>
        <w:rPr>
          <w:rFonts w:hint="eastAsia" w:ascii="仿宋" w:hAnsi="仿宋" w:eastAsia="仿宋"/>
          <w:b/>
          <w:color w:val="000000"/>
          <w:kern w:val="0"/>
          <w:sz w:val="44"/>
          <w:szCs w:val="44"/>
        </w:rPr>
        <w:t>第四部分   名词解释</w:t>
      </w:r>
    </w:p>
    <w:p>
      <w:pPr>
        <w:autoSpaceDE w:val="0"/>
        <w:autoSpaceDN w:val="0"/>
        <w:adjustRightInd w:val="0"/>
        <w:jc w:val="center"/>
        <w:rPr>
          <w:rFonts w:hint="eastAsia" w:ascii="仿宋" w:hAnsi="仿宋" w:eastAsia="仿宋"/>
          <w:b/>
          <w:color w:val="000000"/>
          <w:kern w:val="0"/>
          <w:sz w:val="44"/>
          <w:szCs w:val="44"/>
        </w:rPr>
      </w:pPr>
    </w:p>
    <w:p>
      <w:pPr>
        <w:autoSpaceDE w:val="0"/>
        <w:autoSpaceDN w:val="0"/>
        <w:adjustRightInd w:val="0"/>
        <w:jc w:val="left"/>
        <w:rPr>
          <w:rFonts w:hint="eastAsia" w:ascii="仿宋" w:hAnsi="仿宋" w:eastAsia="仿宋"/>
          <w:kern w:val="0"/>
          <w:sz w:val="28"/>
          <w:szCs w:val="28"/>
        </w:rPr>
      </w:pPr>
      <w:r>
        <w:rPr>
          <w:rFonts w:hint="eastAsia" w:ascii="仿宋" w:hAnsi="仿宋" w:eastAsia="仿宋"/>
          <w:kern w:val="0"/>
          <w:sz w:val="28"/>
          <w:szCs w:val="28"/>
        </w:rPr>
        <w:t>一、财政拨款收入：</w:t>
      </w:r>
      <w:r>
        <w:rPr>
          <w:rFonts w:ascii="仿宋" w:hAnsi="仿宋" w:eastAsia="仿宋"/>
          <w:kern w:val="0"/>
          <w:sz w:val="28"/>
          <w:szCs w:val="28"/>
        </w:rPr>
        <w:t>指由省级财政拨款形成的部门收入。按现行管理制度，省级部门预算中反映的财政拨款包括一般公共预算拨款、政府性基金预算拨款和国有资本经营预算拨款。</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二、财政专户管理资金：</w:t>
      </w:r>
      <w:r>
        <w:rPr>
          <w:rFonts w:ascii="仿宋" w:hAnsi="仿宋" w:eastAsia="仿宋"/>
          <w:kern w:val="0"/>
          <w:sz w:val="28"/>
          <w:szCs w:val="28"/>
        </w:rPr>
        <w:t>指单位纳入财政专户管理的资金。主要包括教育收费、社会公益机构接受的公益捐赠收入，以及幼儿园接受的捐赠收入等。</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三、事业收入：</w:t>
      </w:r>
      <w:r>
        <w:rPr>
          <w:rFonts w:ascii="仿宋" w:hAnsi="仿宋" w:eastAsia="仿宋"/>
          <w:kern w:val="0"/>
          <w:sz w:val="28"/>
          <w:szCs w:val="28"/>
        </w:rPr>
        <w:t>指事业单位开展专业业务活动及辅助活动所取得的收入。</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四、事业单位经营收入：</w:t>
      </w:r>
      <w:r>
        <w:rPr>
          <w:rFonts w:ascii="仿宋" w:hAnsi="仿宋" w:eastAsia="仿宋"/>
          <w:kern w:val="0"/>
          <w:sz w:val="28"/>
          <w:szCs w:val="28"/>
        </w:rPr>
        <w:t>指事业单位在专业业务活动及其辅助活动之外开展非独立核算经营活动取得的收入。</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五、其他收入：</w:t>
      </w:r>
      <w:r>
        <w:rPr>
          <w:rFonts w:ascii="仿宋" w:hAnsi="仿宋" w:eastAsia="仿宋"/>
          <w:kern w:val="0"/>
          <w:sz w:val="28"/>
          <w:szCs w:val="28"/>
        </w:rPr>
        <w:t>指除上述“财政拨款收入”、“事业收入”、“事业单位经营收入”等以外的收入。主要是按规定动用的售房收入、存款利息收入等。</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六、上级补助收入：</w:t>
      </w:r>
      <w:r>
        <w:rPr>
          <w:rFonts w:ascii="仿宋" w:hAnsi="仿宋" w:eastAsia="仿宋"/>
          <w:kern w:val="0"/>
          <w:sz w:val="28"/>
          <w:szCs w:val="28"/>
        </w:rPr>
        <w:t>指单位从主管部门和上级单位取得的非财政补助收入。</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七、附属单位上缴收入：</w:t>
      </w:r>
      <w:r>
        <w:rPr>
          <w:rFonts w:ascii="仿宋" w:hAnsi="仿宋" w:eastAsia="仿宋"/>
          <w:kern w:val="0"/>
          <w:sz w:val="28"/>
          <w:szCs w:val="28"/>
        </w:rPr>
        <w:t>指附属独立核算单位按照规定上缴的收入。</w:t>
      </w:r>
    </w:p>
    <w:p>
      <w:pPr>
        <w:autoSpaceDE w:val="0"/>
        <w:autoSpaceDN w:val="0"/>
        <w:adjustRightInd w:val="0"/>
        <w:jc w:val="left"/>
        <w:rPr>
          <w:rFonts w:ascii="仿宋" w:hAnsi="仿宋" w:eastAsia="仿宋"/>
          <w:kern w:val="0"/>
          <w:sz w:val="28"/>
          <w:szCs w:val="28"/>
        </w:rPr>
      </w:pPr>
      <w:r>
        <w:rPr>
          <w:rFonts w:hint="eastAsia" w:ascii="仿宋" w:hAnsi="仿宋" w:eastAsia="仿宋"/>
          <w:kern w:val="0"/>
          <w:sz w:val="28"/>
          <w:szCs w:val="28"/>
        </w:rPr>
        <w:t>八、用事业基金弥补收支差额：</w:t>
      </w:r>
      <w:r>
        <w:rPr>
          <w:rFonts w:ascii="仿宋" w:hAnsi="仿宋" w:eastAsia="仿宋"/>
          <w:kern w:val="0"/>
          <w:sz w:val="28"/>
          <w:szCs w:val="28"/>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jc w:val="left"/>
        <w:rPr>
          <w:rFonts w:ascii="仿宋" w:hAnsi="仿宋" w:eastAsia="仿宋"/>
          <w:sz w:val="28"/>
          <w:szCs w:val="28"/>
        </w:rPr>
      </w:pPr>
      <w:r>
        <w:rPr>
          <w:rFonts w:hint="eastAsia" w:ascii="仿宋" w:hAnsi="仿宋" w:eastAsia="仿宋"/>
          <w:kern w:val="0"/>
          <w:sz w:val="28"/>
          <w:szCs w:val="28"/>
        </w:rPr>
        <w:t>九、上年结转：</w:t>
      </w:r>
      <w:r>
        <w:rPr>
          <w:rFonts w:ascii="仿宋" w:hAnsi="仿宋" w:eastAsia="仿宋"/>
          <w:kern w:val="0"/>
          <w:sz w:val="28"/>
          <w:szCs w:val="28"/>
        </w:rPr>
        <w:t>指以前年度尚未完成、结转到本年仍按原规定用途继续使用的资金。</w:t>
      </w:r>
    </w:p>
    <w:p>
      <w:pPr>
        <w:rPr>
          <w:rFonts w:hint="eastAsia"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十、基本支出：</w:t>
      </w:r>
      <w:r>
        <w:rPr>
          <w:rFonts w:hint="eastAsia" w:ascii="仿宋" w:hAnsi="仿宋" w:eastAsia="仿宋"/>
          <w:sz w:val="28"/>
          <w:szCs w:val="28"/>
        </w:rPr>
        <w:t>指为保障机构正常运转、完成日常工作任务而发生的人员经费和日常公用经费</w:t>
      </w:r>
    </w:p>
    <w:p>
      <w:pPr>
        <w:rPr>
          <w:rFonts w:hint="eastAsia" w:ascii="仿宋" w:hAnsi="仿宋" w:eastAsia="仿宋"/>
          <w:sz w:val="28"/>
          <w:szCs w:val="28"/>
        </w:rPr>
      </w:pPr>
      <w:r>
        <w:rPr>
          <w:rFonts w:hint="eastAsia" w:ascii="仿宋" w:hAnsi="仿宋" w:eastAsia="仿宋"/>
          <w:b/>
          <w:sz w:val="28"/>
          <w:szCs w:val="28"/>
        </w:rPr>
        <w:t>十一、项目支出</w:t>
      </w:r>
      <w:r>
        <w:rPr>
          <w:rFonts w:hint="eastAsia" w:ascii="仿宋" w:hAnsi="仿宋" w:eastAsia="仿宋"/>
          <w:sz w:val="28"/>
          <w:szCs w:val="28"/>
        </w:rPr>
        <w:t>：指在基本支出之外为完成特定任务和事业发展目标所发生的支出</w:t>
      </w:r>
    </w:p>
    <w:p>
      <w:pPr>
        <w:rPr>
          <w:rFonts w:hint="eastAsia" w:ascii="仿宋" w:hAnsi="仿宋" w:eastAsia="仿宋"/>
          <w:sz w:val="28"/>
          <w:szCs w:val="28"/>
        </w:rPr>
      </w:pPr>
      <w:r>
        <w:rPr>
          <w:rFonts w:hint="eastAsia" w:ascii="仿宋" w:hAnsi="仿宋" w:eastAsia="仿宋"/>
          <w:b/>
          <w:sz w:val="28"/>
          <w:szCs w:val="28"/>
        </w:rPr>
        <w:t>十二、“三公”经费</w:t>
      </w:r>
      <w:r>
        <w:rPr>
          <w:rFonts w:hint="eastAsia" w:ascii="仿宋" w:hAnsi="仿宋" w:eastAsia="仿宋"/>
          <w:sz w:val="28"/>
          <w:szCs w:val="28"/>
        </w:rPr>
        <w:t>：指市级部门用财政拨款安排的因公出国费、公务用车购置及运行费和公务接待费。其中，因公出国费反映单位公务出国的国际差旅费、国外城市间交通费、住宿费、伙食费、培训费、公杂费等支出；公务用车购置及运行费反映单位公务用车车辆购置支出 及租用费、燃料费、维修费、过路过桥费、保险费、安全奖励费用等支出；公务接待费反映单位按规定开支的各类接待（含外宾接待）支出。</w:t>
      </w:r>
    </w:p>
    <w:p>
      <w:pPr>
        <w:rPr>
          <w:rFonts w:ascii="仿宋" w:hAnsi="仿宋" w:eastAsia="仿宋"/>
          <w:sz w:val="28"/>
          <w:szCs w:val="28"/>
        </w:rPr>
      </w:pPr>
      <w:r>
        <w:rPr>
          <w:rFonts w:hint="eastAsia" w:ascii="仿宋" w:hAnsi="仿宋" w:eastAsia="仿宋"/>
          <w:b/>
          <w:sz w:val="28"/>
          <w:szCs w:val="28"/>
        </w:rPr>
        <w:t>十三、机关运行经费</w:t>
      </w:r>
      <w:r>
        <w:rPr>
          <w:rFonts w:hint="eastAsia" w:ascii="仿宋" w:hAnsi="仿宋" w:eastAsia="仿宋"/>
          <w:sz w:val="28"/>
          <w:szCs w:val="28"/>
        </w:rPr>
        <w:t>：为保障行政单位运行，用于购买货物和服务的各项资金，包括办公及印刷费、邮电费、差旅费、会议费、福利费、日常维修费、专用材料及一般设备购置费、办公用房水电费、办公用房取暖费、办公用房物业管理费、公务用车运行维护费及其他费用。</w:t>
      </w:r>
    </w:p>
    <w:p>
      <w:pPr>
        <w:rPr>
          <w:rFonts w:ascii="仿宋" w:hAnsi="仿宋" w:eastAsia="仿宋"/>
          <w:sz w:val="28"/>
          <w:szCs w:val="28"/>
        </w:rPr>
      </w:pPr>
      <w:r>
        <w:rPr>
          <w:rFonts w:ascii="仿宋" w:hAnsi="仿宋" w:eastAsia="仿宋"/>
          <w:sz w:val="28"/>
          <w:szCs w:val="28"/>
        </w:rPr>
        <w:t xml:space="preserve"> </w:t>
      </w:r>
    </w:p>
    <w:p>
      <w:pPr>
        <w:rPr>
          <w:rFonts w:ascii="仿宋" w:hAnsi="仿宋" w:eastAsia="仿宋"/>
          <w:sz w:val="28"/>
          <w:szCs w:val="28"/>
        </w:rPr>
      </w:pPr>
      <w:r>
        <w:rPr>
          <w:rFonts w:ascii="仿宋" w:hAnsi="仿宋" w:eastAsia="仿宋"/>
          <w:sz w:val="28"/>
          <w:szCs w:val="28"/>
        </w:rPr>
        <w:t xml:space="preserve"> </w:t>
      </w:r>
    </w:p>
    <w:p>
      <w:pPr>
        <w:rPr>
          <w:sz w:val="28"/>
          <w:szCs w:val="28"/>
        </w:rPr>
      </w:pPr>
      <w:r>
        <w:rPr>
          <w:sz w:val="28"/>
          <w:szCs w:val="28"/>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8C"/>
    <w:rsid w:val="00027FE0"/>
    <w:rsid w:val="0018012D"/>
    <w:rsid w:val="002144D5"/>
    <w:rsid w:val="00416E8C"/>
    <w:rsid w:val="0073477D"/>
    <w:rsid w:val="0081731C"/>
    <w:rsid w:val="00962AAB"/>
    <w:rsid w:val="009D60BA"/>
    <w:rsid w:val="00B70275"/>
    <w:rsid w:val="00E120D9"/>
    <w:rsid w:val="00EC54F8"/>
    <w:rsid w:val="00F22221"/>
    <w:rsid w:val="3E7B214A"/>
    <w:rsid w:val="4DCB06A6"/>
    <w:rsid w:val="5B7F32E1"/>
    <w:rsid w:val="77446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unhideWhenUsed/>
    <w:qFormat/>
    <w:uiPriority w:val="99"/>
    <w:pPr>
      <w:snapToGrid w:val="0"/>
      <w:jc w:val="left"/>
    </w:pPr>
    <w:rPr>
      <w:rFonts w:ascii="Times New Roman" w:hAnsi="Times New Roman" w:cs="Times New Roman"/>
      <w:sz w:val="18"/>
      <w:szCs w:val="18"/>
    </w:rPr>
  </w:style>
  <w:style w:type="paragraph" w:styleId="3">
    <w:name w:val="header"/>
    <w:basedOn w:val="1"/>
    <w:link w:val="7"/>
    <w:semiHidden/>
    <w:unhideWhenUsed/>
    <w:qFormat/>
    <w:uiPriority w:val="99"/>
    <w:pPr>
      <w:pBdr>
        <w:bottom w:val="single" w:color="auto" w:sz="6" w:space="1"/>
      </w:pBdr>
      <w:snapToGrid w:val="0"/>
      <w:jc w:val="center"/>
    </w:pPr>
    <w:rPr>
      <w:rFonts w:ascii="Times New Roman" w:hAnsi="Times New Roman" w:cs="Times New Roman"/>
      <w:sz w:val="18"/>
      <w:szCs w:val="18"/>
    </w:rPr>
  </w:style>
  <w:style w:type="character" w:customStyle="1" w:styleId="6">
    <w:name w:val="页脚 Char"/>
    <w:basedOn w:val="5"/>
    <w:link w:val="2"/>
    <w:semiHidden/>
    <w:qFormat/>
    <w:uiPriority w:val="99"/>
    <w:rPr>
      <w:rFonts w:ascii="Times New Roman" w:hAnsi="Times New Roman" w:eastAsia="宋体" w:cs="Times New Roman"/>
      <w:sz w:val="18"/>
      <w:szCs w:val="18"/>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font51"/>
    <w:basedOn w:val="5"/>
    <w:qFormat/>
    <w:uiPriority w:val="0"/>
    <w:rPr>
      <w:rFonts w:hint="eastAsia" w:ascii="宋体" w:hAnsi="宋体" w:eastAsia="宋体" w:cs="宋体"/>
      <w:b/>
      <w:color w:val="000000"/>
      <w:sz w:val="44"/>
      <w:szCs w:val="44"/>
      <w:u w:val="none"/>
    </w:rPr>
  </w:style>
  <w:style w:type="character" w:customStyle="1" w:styleId="9">
    <w:name w:val="font71"/>
    <w:basedOn w:val="5"/>
    <w:qFormat/>
    <w:uiPriority w:val="0"/>
    <w:rPr>
      <w:rFonts w:hint="eastAsia" w:ascii="宋体" w:hAnsi="宋体" w:eastAsia="宋体" w:cs="宋体"/>
      <w:color w:val="000000"/>
      <w:sz w:val="18"/>
      <w:szCs w:val="18"/>
      <w:u w:val="none"/>
    </w:rPr>
  </w:style>
  <w:style w:type="character" w:customStyle="1" w:styleId="10">
    <w:name w:val="font31"/>
    <w:basedOn w:val="5"/>
    <w:qFormat/>
    <w:uiPriority w:val="0"/>
    <w:rPr>
      <w:rFonts w:hint="default" w:ascii="Arial" w:hAnsi="Arial" w:cs="Arial"/>
      <w:color w:val="000000"/>
      <w:sz w:val="18"/>
      <w:szCs w:val="18"/>
      <w:u w:val="none"/>
    </w:rPr>
  </w:style>
  <w:style w:type="character" w:customStyle="1" w:styleId="11">
    <w:name w:val="font1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C0C02-AD0A-418E-98F2-151BD9345114}">
  <ds:schemaRefs/>
</ds:datastoreItem>
</file>

<file path=docProps/app.xml><?xml version="1.0" encoding="utf-8"?>
<Properties xmlns="http://schemas.openxmlformats.org/officeDocument/2006/extended-properties" xmlns:vt="http://schemas.openxmlformats.org/officeDocument/2006/docPropsVTypes">
  <Template>Normal</Template>
  <Pages>24</Pages>
  <Words>1708</Words>
  <Characters>9737</Characters>
  <Lines>81</Lines>
  <Paragraphs>22</Paragraphs>
  <TotalTime>16</TotalTime>
  <ScaleCrop>false</ScaleCrop>
  <LinksUpToDate>false</LinksUpToDate>
  <CharactersWithSpaces>11423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2018-01-30T01:11:00Z</dcterms:created>
  <dc:creator>lenvov</dc:creator>
  <cp:lastModifiedBy>元</cp:lastModifiedBy>
  <dcterms:modified xsi:type="dcterms:W3CDTF">2019-02-18T08:10:03Z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